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EE39A" w14:textId="77777777" w:rsidR="003C00E9" w:rsidRPr="00167762" w:rsidRDefault="003C00E9" w:rsidP="003C00E9">
      <w:pPr>
        <w:jc w:val="center"/>
        <w:rPr>
          <w:rFonts w:eastAsia="Calibri" w:cs="Tahoma"/>
          <w:noProof/>
        </w:rPr>
      </w:pPr>
      <w:r w:rsidRPr="00167762">
        <w:rPr>
          <w:rFonts w:eastAsia="Calibri" w:cs="Tahoma"/>
          <w:noProof/>
        </w:rPr>
        <w:t>REPUBLIKA HRVATSKA</w:t>
      </w:r>
    </w:p>
    <w:p w14:paraId="580099F6" w14:textId="2FD8D617" w:rsidR="00C10C8A" w:rsidRPr="00F90B3F" w:rsidRDefault="00C10C8A" w:rsidP="00C10C8A">
      <w:pPr>
        <w:jc w:val="center"/>
        <w:rPr>
          <w:rFonts w:eastAsia="Calibri" w:cs="Tahoma"/>
          <w:noProof/>
        </w:rPr>
      </w:pPr>
      <w:r w:rsidRPr="00F90B3F">
        <w:rPr>
          <w:rFonts w:eastAsia="Calibri" w:cs="Tahoma"/>
          <w:noProof/>
        </w:rPr>
        <w:t>Šibensko-kninska županij</w:t>
      </w:r>
      <w:r w:rsidR="009223C0">
        <w:rPr>
          <w:rFonts w:eastAsia="Calibri" w:cs="Tahoma"/>
          <w:noProof/>
        </w:rPr>
        <w:t>a</w:t>
      </w:r>
    </w:p>
    <w:p w14:paraId="2A1F65D5" w14:textId="77777777" w:rsidR="00C10C8A" w:rsidRPr="00F90B3F" w:rsidRDefault="00C10C8A" w:rsidP="00C10C8A">
      <w:pPr>
        <w:jc w:val="center"/>
        <w:rPr>
          <w:rFonts w:eastAsia="Calibri" w:cs="Tahoma"/>
          <w:b/>
          <w:noProof/>
        </w:rPr>
      </w:pPr>
    </w:p>
    <w:p w14:paraId="119272B3" w14:textId="77777777" w:rsidR="00C10C8A" w:rsidRPr="00F90B3F" w:rsidRDefault="00C10C8A" w:rsidP="00C10C8A">
      <w:pPr>
        <w:jc w:val="center"/>
        <w:rPr>
          <w:rFonts w:eastAsia="Calibri" w:cs="Tahoma"/>
          <w:b/>
          <w:noProof/>
        </w:rPr>
      </w:pPr>
      <w:r w:rsidRPr="00F90B3F">
        <w:rPr>
          <w:rFonts w:eastAsia="Calibri" w:cs="Tahoma"/>
          <w:b/>
          <w:noProof/>
        </w:rPr>
        <w:t>Grad Drniš</w:t>
      </w:r>
    </w:p>
    <w:p w14:paraId="3A46FA18" w14:textId="77777777" w:rsidR="00C10C8A" w:rsidRPr="00F90B3F" w:rsidRDefault="00C10C8A" w:rsidP="00C10C8A">
      <w:pPr>
        <w:jc w:val="center"/>
        <w:rPr>
          <w:rFonts w:eastAsia="Calibri" w:cs="Tahoma"/>
          <w:noProof/>
        </w:rPr>
      </w:pPr>
      <w:r w:rsidRPr="00F90B3F">
        <w:rPr>
          <w:rFonts w:eastAsia="Calibri" w:cs="Tahoma"/>
          <w:noProof/>
        </w:rPr>
        <w:t>Trg kralja Tomislava 1</w:t>
      </w:r>
    </w:p>
    <w:p w14:paraId="4FF545FB" w14:textId="77777777" w:rsidR="00C10C8A" w:rsidRPr="00F90B3F" w:rsidRDefault="00C10C8A" w:rsidP="00C10C8A">
      <w:pPr>
        <w:jc w:val="center"/>
        <w:rPr>
          <w:rFonts w:eastAsia="Calibri" w:cs="Tahoma"/>
          <w:noProof/>
          <w:color w:val="000000"/>
        </w:rPr>
      </w:pPr>
      <w:r w:rsidRPr="00F90B3F">
        <w:rPr>
          <w:rFonts w:eastAsia="Calibri" w:cs="Tahoma"/>
          <w:noProof/>
          <w:color w:val="000000"/>
        </w:rPr>
        <w:t>22320 Drniš</w:t>
      </w:r>
    </w:p>
    <w:p w14:paraId="0F8A912B" w14:textId="77777777" w:rsidR="00C10C8A" w:rsidRPr="00167762" w:rsidRDefault="00C10C8A" w:rsidP="00C10C8A">
      <w:pPr>
        <w:jc w:val="center"/>
        <w:rPr>
          <w:rFonts w:eastAsia="Calibri" w:cs="Tahoma"/>
          <w:color w:val="000000"/>
        </w:rPr>
      </w:pPr>
      <w:r w:rsidRPr="00F90B3F">
        <w:rPr>
          <w:rFonts w:eastAsia="Calibri" w:cs="Tahoma"/>
          <w:color w:val="000000"/>
        </w:rPr>
        <w:t>OIB: 38309740312</w:t>
      </w:r>
    </w:p>
    <w:p w14:paraId="51EFD013" w14:textId="77777777" w:rsidR="00C10C8A" w:rsidRPr="00167762" w:rsidRDefault="00C10C8A" w:rsidP="00C10C8A">
      <w:pPr>
        <w:jc w:val="center"/>
        <w:rPr>
          <w:rFonts w:eastAsia="Calibri" w:cs="Tahoma"/>
          <w:b/>
          <w:bCs/>
          <w:highlight w:val="yellow"/>
        </w:rPr>
      </w:pPr>
    </w:p>
    <w:p w14:paraId="780E3E3E" w14:textId="77777777" w:rsidR="00C10C8A" w:rsidRPr="00167762" w:rsidRDefault="00C10C8A" w:rsidP="00C10C8A">
      <w:pPr>
        <w:jc w:val="center"/>
        <w:rPr>
          <w:rFonts w:eastAsia="Calibri" w:cs="Tahoma"/>
        </w:rPr>
      </w:pPr>
      <w:r w:rsidRPr="00167762">
        <w:rPr>
          <w:rFonts w:eastAsia="Calibri" w:cs="Tahoma"/>
        </w:rPr>
        <w:t>(dalje u tekstu „Naručitelj“)</w:t>
      </w:r>
    </w:p>
    <w:p w14:paraId="5576CC74" w14:textId="77777777" w:rsidR="00C10C8A" w:rsidRPr="00167762" w:rsidRDefault="00C10C8A" w:rsidP="00C10C8A">
      <w:pPr>
        <w:jc w:val="center"/>
        <w:rPr>
          <w:rFonts w:eastAsia="Calibri" w:cs="Tahoma"/>
          <w:b/>
          <w:bCs/>
        </w:rPr>
      </w:pPr>
    </w:p>
    <w:p w14:paraId="366D9775" w14:textId="77777777" w:rsidR="00C10C8A" w:rsidRPr="00167762" w:rsidRDefault="00C10C8A" w:rsidP="00C10C8A">
      <w:pPr>
        <w:rPr>
          <w:rFonts w:eastAsia="Calibri" w:cs="Tahoma"/>
          <w:b/>
          <w:bCs/>
        </w:rPr>
      </w:pPr>
    </w:p>
    <w:p w14:paraId="25583900" w14:textId="77777777" w:rsidR="00C10C8A" w:rsidRPr="00167762" w:rsidRDefault="00C10C8A" w:rsidP="00C10C8A">
      <w:pPr>
        <w:jc w:val="center"/>
        <w:rPr>
          <w:rFonts w:eastAsia="Calibri" w:cs="Tahoma"/>
          <w:b/>
          <w:bCs/>
        </w:rPr>
      </w:pPr>
      <w:r w:rsidRPr="00167762">
        <w:rPr>
          <w:rFonts w:eastAsia="Calibri" w:cs="Tahoma"/>
          <w:b/>
          <w:bCs/>
        </w:rPr>
        <w:t>Za projekt sufinanciran od EU</w:t>
      </w:r>
    </w:p>
    <w:p w14:paraId="448F7224" w14:textId="77777777" w:rsidR="00C10C8A" w:rsidRPr="00167762" w:rsidRDefault="00C10C8A" w:rsidP="00C10C8A">
      <w:pPr>
        <w:jc w:val="center"/>
        <w:rPr>
          <w:rFonts w:eastAsia="Calibri" w:cs="Tahoma"/>
          <w:b/>
          <w:bCs/>
        </w:rPr>
      </w:pPr>
    </w:p>
    <w:p w14:paraId="4E1AB14F" w14:textId="77777777" w:rsidR="00C10C8A" w:rsidRPr="00956F95" w:rsidRDefault="00C10C8A" w:rsidP="00C10C8A">
      <w:pPr>
        <w:jc w:val="center"/>
        <w:rPr>
          <w:rFonts w:eastAsia="Calibri"/>
          <w:b/>
          <w:bCs/>
          <w:sz w:val="28"/>
          <w:szCs w:val="28"/>
        </w:rPr>
      </w:pPr>
      <w:r>
        <w:rPr>
          <w:rFonts w:eastAsia="Calibri"/>
          <w:b/>
          <w:bCs/>
          <w:sz w:val="28"/>
          <w:szCs w:val="28"/>
        </w:rPr>
        <w:t>POZIV NA DOSTAVU PONUDA</w:t>
      </w:r>
    </w:p>
    <w:p w14:paraId="7111028E" w14:textId="36CB5B1F" w:rsidR="00C10C8A" w:rsidRPr="00956F95" w:rsidRDefault="00C10C8A" w:rsidP="00C10C8A">
      <w:pPr>
        <w:jc w:val="center"/>
        <w:rPr>
          <w:rFonts w:eastAsia="Calibri"/>
          <w:sz w:val="22"/>
        </w:rPr>
      </w:pPr>
      <w:r w:rsidRPr="00956F95">
        <w:rPr>
          <w:rFonts w:eastAsia="Calibri"/>
          <w:sz w:val="22"/>
        </w:rPr>
        <w:t xml:space="preserve">U </w:t>
      </w:r>
      <w:r w:rsidR="00785B7C">
        <w:rPr>
          <w:rFonts w:eastAsia="Calibri"/>
          <w:sz w:val="22"/>
        </w:rPr>
        <w:t xml:space="preserve">PONOVLJENOM </w:t>
      </w:r>
      <w:r w:rsidRPr="00956F95">
        <w:rPr>
          <w:rFonts w:eastAsia="Calibri"/>
          <w:sz w:val="22"/>
        </w:rPr>
        <w:t xml:space="preserve">POSTUPKU </w:t>
      </w:r>
      <w:r>
        <w:rPr>
          <w:rFonts w:eastAsia="Calibri"/>
          <w:sz w:val="22"/>
        </w:rPr>
        <w:t>JEDNOSTAVNE NABAVE</w:t>
      </w:r>
    </w:p>
    <w:p w14:paraId="349C0024" w14:textId="7811670B" w:rsidR="00C10C8A" w:rsidRPr="00167762" w:rsidRDefault="00C10C8A" w:rsidP="00C10C8A">
      <w:pPr>
        <w:jc w:val="center"/>
        <w:rPr>
          <w:rFonts w:eastAsia="Calibri"/>
          <w:b/>
          <w:sz w:val="28"/>
          <w:szCs w:val="28"/>
        </w:rPr>
      </w:pPr>
      <w:r w:rsidRPr="00167762">
        <w:rPr>
          <w:rFonts w:eastAsia="Calibri"/>
          <w:sz w:val="28"/>
          <w:szCs w:val="28"/>
        </w:rPr>
        <w:t xml:space="preserve">ZA </w:t>
      </w:r>
      <w:r>
        <w:rPr>
          <w:rFonts w:eastAsia="Calibri"/>
          <w:sz w:val="28"/>
          <w:szCs w:val="28"/>
        </w:rPr>
        <w:t xml:space="preserve">USLUGU UPRAVLJANJA PROJEKTOM I TEHNIČKE POMOĆI TIJEKOM PROVEDBE PROJEKTA SANACIJE </w:t>
      </w:r>
      <w:r w:rsidR="009223C0">
        <w:rPr>
          <w:rFonts w:eastAsia="Calibri"/>
          <w:sz w:val="28"/>
          <w:szCs w:val="28"/>
        </w:rPr>
        <w:t>ODLAGALIŠTA NEOPASNOG OTPADA</w:t>
      </w:r>
      <w:r>
        <w:rPr>
          <w:rFonts w:eastAsia="Calibri"/>
          <w:sz w:val="28"/>
          <w:szCs w:val="28"/>
        </w:rPr>
        <w:t xml:space="preserve"> „MOSEĆ“ U GRADU DRNIŠU</w:t>
      </w:r>
    </w:p>
    <w:p w14:paraId="5B9ED5F3" w14:textId="77777777" w:rsidR="003C00E9" w:rsidRDefault="003C00E9" w:rsidP="003C00E9">
      <w:pPr>
        <w:jc w:val="center"/>
        <w:rPr>
          <w:sz w:val="28"/>
          <w:szCs w:val="28"/>
        </w:rPr>
      </w:pPr>
    </w:p>
    <w:p w14:paraId="696FB83A" w14:textId="162B3BDE" w:rsidR="003C00E9" w:rsidRPr="00B94F59" w:rsidRDefault="003C00E9" w:rsidP="003C00E9">
      <w:pPr>
        <w:jc w:val="center"/>
        <w:rPr>
          <w:rFonts w:cs="Tahoma"/>
          <w:b/>
          <w:sz w:val="28"/>
          <w:szCs w:val="28"/>
        </w:rPr>
      </w:pPr>
      <w:r w:rsidRPr="00B94F59">
        <w:rPr>
          <w:rFonts w:cs="Tahoma"/>
          <w:b/>
          <w:sz w:val="28"/>
          <w:szCs w:val="28"/>
        </w:rPr>
        <w:t xml:space="preserve">PRILOG </w:t>
      </w:r>
      <w:r w:rsidR="00455CA1">
        <w:rPr>
          <w:rFonts w:cs="Tahoma"/>
          <w:b/>
          <w:sz w:val="28"/>
          <w:szCs w:val="28"/>
        </w:rPr>
        <w:t>2</w:t>
      </w:r>
      <w:r w:rsidRPr="00B94F59">
        <w:rPr>
          <w:rFonts w:cs="Tahoma"/>
          <w:b/>
          <w:sz w:val="28"/>
          <w:szCs w:val="28"/>
        </w:rPr>
        <w:t xml:space="preserve"> – </w:t>
      </w:r>
      <w:r w:rsidR="00455CA1">
        <w:rPr>
          <w:rFonts w:cs="Tahoma"/>
          <w:b/>
          <w:sz w:val="28"/>
          <w:szCs w:val="28"/>
        </w:rPr>
        <w:t>Projektni zadatak</w:t>
      </w:r>
    </w:p>
    <w:p w14:paraId="6403463D" w14:textId="77777777" w:rsidR="003C00E9" w:rsidRPr="00303E66" w:rsidRDefault="003C00E9" w:rsidP="003C00E9">
      <w:pPr>
        <w:jc w:val="center"/>
        <w:rPr>
          <w:sz w:val="28"/>
          <w:szCs w:val="28"/>
        </w:rPr>
      </w:pPr>
    </w:p>
    <w:p w14:paraId="7782BFF0" w14:textId="77777777" w:rsidR="003C00E9" w:rsidRPr="00303E66" w:rsidRDefault="003C00E9" w:rsidP="003C00E9">
      <w:pPr>
        <w:jc w:val="center"/>
        <w:rPr>
          <w:sz w:val="28"/>
          <w:szCs w:val="28"/>
        </w:rPr>
      </w:pPr>
    </w:p>
    <w:p w14:paraId="68E447A5" w14:textId="77777777" w:rsidR="003C00E9" w:rsidRDefault="003C00E9" w:rsidP="003C00E9">
      <w:pPr>
        <w:jc w:val="center"/>
        <w:rPr>
          <w:rFonts w:eastAsia="Times New Roman"/>
          <w:sz w:val="24"/>
          <w:szCs w:val="24"/>
        </w:rPr>
      </w:pPr>
    </w:p>
    <w:p w14:paraId="189D7902" w14:textId="77777777" w:rsidR="003C00E9" w:rsidRDefault="003C00E9" w:rsidP="003C00E9">
      <w:pPr>
        <w:jc w:val="center"/>
        <w:rPr>
          <w:rFonts w:eastAsia="Times New Roman"/>
          <w:sz w:val="24"/>
          <w:szCs w:val="24"/>
        </w:rPr>
      </w:pPr>
    </w:p>
    <w:p w14:paraId="3186E560" w14:textId="55D499F9" w:rsidR="003C00E9" w:rsidRDefault="003C00E9" w:rsidP="003C00E9">
      <w:pPr>
        <w:jc w:val="center"/>
        <w:rPr>
          <w:rFonts w:eastAsia="Times New Roman"/>
          <w:sz w:val="24"/>
          <w:szCs w:val="24"/>
        </w:rPr>
      </w:pPr>
    </w:p>
    <w:p w14:paraId="5823D8B2" w14:textId="77777777" w:rsidR="00C10C8A" w:rsidRDefault="00C10C8A" w:rsidP="003C00E9">
      <w:pPr>
        <w:jc w:val="center"/>
        <w:rPr>
          <w:rFonts w:eastAsia="Times New Roman"/>
          <w:color w:val="FF0000"/>
          <w:sz w:val="24"/>
          <w:szCs w:val="24"/>
        </w:rPr>
      </w:pPr>
    </w:p>
    <w:p w14:paraId="53771C95" w14:textId="77777777" w:rsidR="003C00E9" w:rsidRDefault="003C00E9" w:rsidP="003C00E9">
      <w:pPr>
        <w:jc w:val="center"/>
        <w:rPr>
          <w:rFonts w:eastAsia="Times New Roman"/>
          <w:color w:val="FF0000"/>
          <w:sz w:val="24"/>
          <w:szCs w:val="24"/>
        </w:rPr>
      </w:pPr>
    </w:p>
    <w:p w14:paraId="1B906D27" w14:textId="77777777" w:rsidR="003C00E9" w:rsidRDefault="003C00E9" w:rsidP="003C00E9">
      <w:pPr>
        <w:jc w:val="center"/>
        <w:rPr>
          <w:rFonts w:eastAsia="Times New Roman"/>
          <w:color w:val="FF0000"/>
          <w:sz w:val="24"/>
          <w:szCs w:val="24"/>
        </w:rPr>
      </w:pPr>
    </w:p>
    <w:p w14:paraId="0EB82FA9" w14:textId="77777777" w:rsidR="003C00E9" w:rsidRDefault="003C00E9" w:rsidP="003C00E9">
      <w:pPr>
        <w:jc w:val="center"/>
        <w:rPr>
          <w:rFonts w:eastAsia="Times New Roman"/>
          <w:color w:val="FF0000"/>
          <w:sz w:val="24"/>
          <w:szCs w:val="24"/>
        </w:rPr>
      </w:pPr>
    </w:p>
    <w:p w14:paraId="4B092C9A" w14:textId="77777777" w:rsidR="003C00E9" w:rsidRDefault="003C00E9" w:rsidP="003C00E9">
      <w:pPr>
        <w:jc w:val="center"/>
        <w:rPr>
          <w:rFonts w:eastAsia="Times New Roman"/>
          <w:color w:val="FF0000"/>
          <w:sz w:val="24"/>
          <w:szCs w:val="24"/>
        </w:rPr>
      </w:pPr>
    </w:p>
    <w:p w14:paraId="3A00F15A" w14:textId="289FF7DB" w:rsidR="003C00E9" w:rsidRPr="00DF45B9" w:rsidRDefault="00C10C8A" w:rsidP="00DF45B9">
      <w:pPr>
        <w:jc w:val="center"/>
        <w:rPr>
          <w:rFonts w:cs="Tahoma"/>
          <w:szCs w:val="20"/>
        </w:rPr>
        <w:sectPr w:rsidR="003C00E9" w:rsidRPr="00DF45B9" w:rsidSect="00EF1CE4">
          <w:headerReference w:type="default" r:id="rId7"/>
          <w:footerReference w:type="default" r:id="rId8"/>
          <w:footerReference w:type="first" r:id="rId9"/>
          <w:pgSz w:w="11906" w:h="16838"/>
          <w:pgMar w:top="1418" w:right="1417" w:bottom="1417" w:left="1417" w:header="708" w:footer="708" w:gutter="0"/>
          <w:pgNumType w:start="1"/>
          <w:cols w:space="708"/>
          <w:docGrid w:linePitch="360"/>
        </w:sectPr>
      </w:pPr>
      <w:r w:rsidRPr="00DF45B9">
        <w:rPr>
          <w:rFonts w:cs="Tahoma"/>
          <w:szCs w:val="20"/>
        </w:rPr>
        <w:t>Drniš</w:t>
      </w:r>
      <w:r w:rsidR="003C00E9" w:rsidRPr="00DF45B9">
        <w:rPr>
          <w:rFonts w:cs="Tahoma"/>
          <w:szCs w:val="20"/>
        </w:rPr>
        <w:t xml:space="preserve">, </w:t>
      </w:r>
      <w:r w:rsidR="00DF45B9" w:rsidRPr="00DF45B9">
        <w:rPr>
          <w:rFonts w:cs="Tahoma"/>
          <w:szCs w:val="20"/>
        </w:rPr>
        <w:t xml:space="preserve"> </w:t>
      </w:r>
      <w:r w:rsidR="00673D6F">
        <w:rPr>
          <w:rFonts w:cs="Tahoma"/>
          <w:szCs w:val="20"/>
        </w:rPr>
        <w:t>rujan</w:t>
      </w:r>
      <w:r w:rsidR="00DF45B9" w:rsidRPr="00DF45B9">
        <w:rPr>
          <w:rFonts w:cs="Tahoma"/>
          <w:szCs w:val="20"/>
        </w:rPr>
        <w:t xml:space="preserve"> 2020. godine</w:t>
      </w:r>
    </w:p>
    <w:p w14:paraId="273FCF57" w14:textId="54BB728C" w:rsidR="00455CA1" w:rsidRPr="00C10C8A" w:rsidRDefault="00C10C8A" w:rsidP="00C10C8A">
      <w:pPr>
        <w:rPr>
          <w:b/>
          <w:sz w:val="24"/>
          <w:szCs w:val="24"/>
        </w:rPr>
      </w:pPr>
      <w:r>
        <w:rPr>
          <w:b/>
          <w:sz w:val="24"/>
          <w:szCs w:val="24"/>
        </w:rPr>
        <w:lastRenderedPageBreak/>
        <w:t>Uvod</w:t>
      </w:r>
    </w:p>
    <w:p w14:paraId="5601F9E5" w14:textId="5F986CE4" w:rsidR="00455CA1" w:rsidRPr="00491662" w:rsidRDefault="00C10C8A" w:rsidP="00455CA1">
      <w:r w:rsidRPr="00303E66">
        <w:t xml:space="preserve">Projekt sanacije </w:t>
      </w:r>
      <w:r w:rsidR="009223C0">
        <w:t>odlagališta neopasnog otpada</w:t>
      </w:r>
      <w:r>
        <w:t xml:space="preserve"> „Moseć“</w:t>
      </w:r>
      <w:r w:rsidRPr="00303E66">
        <w:t xml:space="preserve"> u </w:t>
      </w:r>
      <w:r>
        <w:t xml:space="preserve">Gradu Drnišu </w:t>
      </w:r>
      <w:r w:rsidRPr="00303E66">
        <w:t xml:space="preserve">provodi se kroz Operativni program Konkurentnost i kohezija 2014.-2020 te je sufinanciran bespovratnim sredstvima iz Europske unije. Projekt će se provoditi sukladno Ugovoru o bespovratnim sredstvima </w:t>
      </w:r>
      <w:r>
        <w:t>(</w:t>
      </w:r>
      <w:r w:rsidRPr="00DF45B9">
        <w:t>referentni broj ugovora KK.</w:t>
      </w:r>
      <w:r w:rsidR="00DF45B9" w:rsidRPr="00DF45B9">
        <w:rPr>
          <w:rFonts w:eastAsia="Calibri" w:cs="Tahoma"/>
          <w:szCs w:val="20"/>
        </w:rPr>
        <w:t xml:space="preserve">06.3.1.13.0002) </w:t>
      </w:r>
      <w:r w:rsidRPr="00DF45B9">
        <w:rPr>
          <w:rFonts w:eastAsia="Calibri" w:cs="Tahoma"/>
          <w:szCs w:val="20"/>
        </w:rPr>
        <w:t xml:space="preserve"> </w:t>
      </w:r>
      <w:r w:rsidRPr="00DF45B9">
        <w:t xml:space="preserve">koji su potpisali </w:t>
      </w:r>
      <w:r w:rsidRPr="00DF45B9">
        <w:rPr>
          <w:rFonts w:cs="Tahoma"/>
        </w:rPr>
        <w:t>Grad Drniš (Korisnik), Ministarstvo zaštite okoliša i energetike (PT1</w:t>
      </w:r>
      <w:r w:rsidRPr="00F90B3F">
        <w:rPr>
          <w:rFonts w:cs="Tahoma"/>
        </w:rPr>
        <w:t>) i Fond za zaštitu okoliša i energetsku učinkovitost (PT2). Navedeni predmet nabave podliježe kontroli Posredničkog tijela razine 2.</w:t>
      </w:r>
    </w:p>
    <w:p w14:paraId="4CBB888C" w14:textId="77777777" w:rsidR="0037516C" w:rsidRDefault="0037516C" w:rsidP="00C10C8A">
      <w:pPr>
        <w:rPr>
          <w:b/>
          <w:sz w:val="24"/>
          <w:szCs w:val="28"/>
        </w:rPr>
      </w:pPr>
    </w:p>
    <w:p w14:paraId="24DCB65C" w14:textId="6EBFBCD1" w:rsidR="00455CA1" w:rsidRPr="00C10C8A" w:rsidRDefault="00455CA1" w:rsidP="00C10C8A">
      <w:pPr>
        <w:rPr>
          <w:b/>
          <w:sz w:val="24"/>
          <w:szCs w:val="28"/>
        </w:rPr>
      </w:pPr>
      <w:r w:rsidRPr="00C10C8A">
        <w:rPr>
          <w:b/>
          <w:sz w:val="24"/>
          <w:szCs w:val="28"/>
        </w:rPr>
        <w:t>Osnovni podaci o odlagalištu</w:t>
      </w:r>
    </w:p>
    <w:p w14:paraId="424CBE0A" w14:textId="77777777" w:rsidR="00455CA1" w:rsidRDefault="00455CA1" w:rsidP="00455CA1">
      <w:pPr>
        <w:rPr>
          <w:b/>
        </w:rPr>
      </w:pPr>
      <w:r w:rsidRPr="00864F38">
        <w:rPr>
          <w:b/>
        </w:rPr>
        <w:t>Postojeće stanje</w:t>
      </w:r>
    </w:p>
    <w:p w14:paraId="521EAE79" w14:textId="77777777" w:rsidR="006A436C" w:rsidRDefault="006A436C" w:rsidP="006A436C">
      <w:r>
        <w:t xml:space="preserve">Odlagalište otpada „Moseć“ je neuređeno odlagalište otpada Grada Drniša. </w:t>
      </w:r>
    </w:p>
    <w:p w14:paraId="15235E93" w14:textId="0506C513" w:rsidR="00455CA1" w:rsidRDefault="006A436C" w:rsidP="006A436C">
      <w:r>
        <w:t>Smješteno je u Šibensko-kninskoj županiji i području Grada Drniša na katastarskoj čestici k.č.br.: 423/27, k.o. Drniš, koja je u vlasništvu Republike Hrvatske.</w:t>
      </w:r>
    </w:p>
    <w:p w14:paraId="18EACC06" w14:textId="77777777" w:rsidR="006A436C" w:rsidRDefault="006A436C" w:rsidP="006A436C">
      <w:r>
        <w:t>Na odlagalištu se otpad odlagao od 1970. godine. Tijekom rata, područje na kojem se nalazi odlagalište je bilo okupirano, tako da se otpad u razdoblju od 1991. do 1995. godine na prostoru odlagališta nije odlagao. Nakon rata nastavljeno je odlaganje otpada na lokaciji odlagališta sve do 26. ožujka 2019., nakon čega je donesena Odluka o zatvaranju i sanaciji odlagališta neopasnog (komunalnog) otpada „Moseć“ u Drnišu (KLASA: 363-01/19-016, URBROJ: 2182/06-01/19-10/1). Otpad se danas odvozi na odlagalište otpada „Bikarac“.</w:t>
      </w:r>
    </w:p>
    <w:p w14:paraId="6FC31116" w14:textId="1F7367F1" w:rsidR="006A436C" w:rsidRDefault="006A436C" w:rsidP="006A436C">
      <w:r>
        <w:t>Odlagalište „Moseć“ se rasprostire na površini od oko 13.600 m</w:t>
      </w:r>
      <w:r w:rsidRPr="006A436C">
        <w:rPr>
          <w:vertAlign w:val="superscript"/>
        </w:rPr>
        <w:t>2</w:t>
      </w:r>
      <w:r>
        <w:t>, od čega je pod otpadom površina od oko 12.100 m</w:t>
      </w:r>
      <w:r w:rsidRPr="006A436C">
        <w:rPr>
          <w:vertAlign w:val="superscript"/>
        </w:rPr>
        <w:t>2</w:t>
      </w:r>
      <w:r>
        <w:t xml:space="preserve">. Do ožujka 2018. godine, kada su provedeni istražni radovi za potrebe sanacije i zatvaranja odlagališta, na lokaciji </w:t>
      </w:r>
      <w:r w:rsidR="009223C0">
        <w:t>odlagališta neopasnog otpada</w:t>
      </w:r>
      <w:r>
        <w:t xml:space="preserve"> „Moseć“ bilo je odloženo oko 72.500 m</w:t>
      </w:r>
      <w:r w:rsidRPr="006A436C">
        <w:rPr>
          <w:vertAlign w:val="superscript"/>
        </w:rPr>
        <w:t>3</w:t>
      </w:r>
      <w:r>
        <w:t xml:space="preserve"> otpada.</w:t>
      </w:r>
    </w:p>
    <w:p w14:paraId="01D4ACFE" w14:textId="7BC3C431" w:rsidR="006A436C" w:rsidRDefault="006A436C" w:rsidP="006A436C">
      <w:r>
        <w:t xml:space="preserve">Odlagalište otpada „Moseć“ ne udovoljava odredbama Pravilnika o načinima i uvjetima odlaganja otpada, kategorijama i uvjetima rada za </w:t>
      </w:r>
      <w:r w:rsidR="009223C0">
        <w:t>odlagališta neopasnog otpada</w:t>
      </w:r>
      <w:r>
        <w:t xml:space="preserve"> (NN 114/15, 103/18 i 56/19 – Ispravak). Otpad se odlagao na neuređenu površinu, odnosno na samom odlagalištu nema osnovne infrastrukture (temeljnog brtvenog sustava sa prikupljanjem procjednih voda, odvodnje oborinskih voda, otplinjavanja, struje, vode itd.). Također, ne provodi se nikakvo zbijanje i prekrivanje odloženog otpada inertnim materijalom.</w:t>
      </w:r>
    </w:p>
    <w:p w14:paraId="56FD4C1C" w14:textId="77777777" w:rsidR="006A436C" w:rsidRDefault="006A436C" w:rsidP="006A436C">
      <w:r>
        <w:t>S obzirom na navedeno, odlagalište je potrebno sanirati kako bi se uskladilo s važećom zakonskom regulativom i kako bi se spriječili daljnji negativni utjecaji na okoliš.</w:t>
      </w:r>
    </w:p>
    <w:p w14:paraId="4E5DC516" w14:textId="77777777" w:rsidR="006A436C" w:rsidRDefault="006A436C" w:rsidP="006A436C">
      <w:r>
        <w:t>Sanacija odlagališta obuhvatit će iskop i premještanje dijela otpada, preoblikovanje otpada prema projektnoj definiranoj geometriji, prekrivanje preoblikovanog otpada završnim prekrivnim sustavom, izgradnju sustava za prikupljanje i odvodnju oborinskih voda, izgradnja sustava pasivnog otplinjavanja, izgradnja interne makadamske prometnice, izgradnja ograde oko prostora odlagališta i ulaznih vrata, te krajobrazno uređenje prostora odlagališta.</w:t>
      </w:r>
    </w:p>
    <w:p w14:paraId="7E5EB195" w14:textId="77777777" w:rsidR="006A436C" w:rsidRDefault="006A436C" w:rsidP="006A436C">
      <w:r>
        <w:t>Cjelokupni obuhvat zahvata sanacije odlagališta zauzimat će površinu od oko 17.454 m</w:t>
      </w:r>
      <w:r w:rsidRPr="006A436C">
        <w:rPr>
          <w:vertAlign w:val="superscript"/>
        </w:rPr>
        <w:t>2</w:t>
      </w:r>
      <w:r>
        <w:t>. U navedenu površinu uključena je sanirana površina postojećeg odlagališta (otpad prekriven završnim prekrivnim sustavom površine 12.382 m</w:t>
      </w:r>
      <w:r w:rsidRPr="006A436C">
        <w:rPr>
          <w:vertAlign w:val="superscript"/>
        </w:rPr>
        <w:t>2</w:t>
      </w:r>
      <w:r>
        <w:t xml:space="preserve"> bez obodnog kanala), te sve manipulativne i ostale površine unutar granica zahvata odlagališta. Procijenjena količina otpada koja se nalazi na odlagalištu iznosi oko 74.500 m</w:t>
      </w:r>
      <w:r w:rsidRPr="006A436C">
        <w:rPr>
          <w:vertAlign w:val="superscript"/>
        </w:rPr>
        <w:t>3</w:t>
      </w:r>
      <w:r>
        <w:t>.</w:t>
      </w:r>
    </w:p>
    <w:p w14:paraId="11CFA41B" w14:textId="77777777" w:rsidR="006A436C" w:rsidRDefault="006A436C" w:rsidP="006A436C">
      <w:r>
        <w:t xml:space="preserve">Na ostatku površine izvest će se svi potrebni objekti za upravljanje i održavanje saniranog odlagališta kao što su prometne površine, sustav za prikupljanje oborinskih voda, sustav za otplinjavanje, krajobrazno uređenje prostora odlagališta, ograda oko prostora odlagališta, ulaz i drugo. </w:t>
      </w:r>
    </w:p>
    <w:p w14:paraId="65D766C4" w14:textId="77777777" w:rsidR="006A436C" w:rsidRDefault="006A436C" w:rsidP="006A436C">
      <w:r>
        <w:lastRenderedPageBreak/>
        <w:t>U svrhu utvrđivanja točnih količina i granica rasprostiranja otpada, prilikom sanacije izvest će se probni raskopi na više mjesta unutar i van granice obuhvata zahvata. Prema stvarno utvrđenim količinama otpada na terenu i granicama rasprostiranja otpada kroz projektantski nadzor korigirat će se predloženo rješenje na način da se predviđena tlocrtna površina i konačna visina odlagališta poveća ili smanji.</w:t>
      </w:r>
    </w:p>
    <w:p w14:paraId="35753B1C" w14:textId="637FFB6C" w:rsidR="00455CA1" w:rsidRDefault="00455CA1" w:rsidP="00455CA1">
      <w:pPr>
        <w:rPr>
          <w:szCs w:val="20"/>
        </w:rPr>
      </w:pPr>
      <w:r w:rsidRPr="00610187">
        <w:rPr>
          <w:szCs w:val="20"/>
        </w:rPr>
        <w:t xml:space="preserve">U </w:t>
      </w:r>
      <w:r w:rsidR="006A436C">
        <w:rPr>
          <w:szCs w:val="20"/>
        </w:rPr>
        <w:t>prosincu</w:t>
      </w:r>
      <w:r w:rsidRPr="00610187">
        <w:rPr>
          <w:szCs w:val="20"/>
        </w:rPr>
        <w:t xml:space="preserve"> 2018. godine izrađen je Glavni projekt sanacije </w:t>
      </w:r>
      <w:r w:rsidR="006A436C">
        <w:rPr>
          <w:szCs w:val="20"/>
        </w:rPr>
        <w:t>i</w:t>
      </w:r>
      <w:r w:rsidRPr="00610187">
        <w:rPr>
          <w:szCs w:val="20"/>
        </w:rPr>
        <w:t xml:space="preserve"> </w:t>
      </w:r>
      <w:r w:rsidR="006A436C">
        <w:rPr>
          <w:szCs w:val="20"/>
        </w:rPr>
        <w:t xml:space="preserve">zatvaranja </w:t>
      </w:r>
      <w:r w:rsidR="009223C0">
        <w:rPr>
          <w:szCs w:val="20"/>
        </w:rPr>
        <w:t>odlagališta neopasnog otpada</w:t>
      </w:r>
      <w:r w:rsidRPr="00610187">
        <w:rPr>
          <w:szCs w:val="20"/>
        </w:rPr>
        <w:t xml:space="preserve"> </w:t>
      </w:r>
      <w:r w:rsidR="006A436C">
        <w:rPr>
          <w:szCs w:val="20"/>
        </w:rPr>
        <w:t>„Moseć“, Grad Drniš</w:t>
      </w:r>
      <w:r w:rsidRPr="00610187">
        <w:rPr>
          <w:szCs w:val="20"/>
        </w:rPr>
        <w:t>.</w:t>
      </w:r>
      <w:r>
        <w:rPr>
          <w:szCs w:val="20"/>
        </w:rPr>
        <w:t xml:space="preserve"> </w:t>
      </w:r>
      <w:r w:rsidRPr="00610187">
        <w:rPr>
          <w:szCs w:val="20"/>
        </w:rPr>
        <w:t>Temeljen Glavnog projekta ishođena je Građevinska dozvola (</w:t>
      </w:r>
      <w:r w:rsidR="006A436C" w:rsidRPr="006A436C">
        <w:rPr>
          <w:szCs w:val="20"/>
        </w:rPr>
        <w:t>KLASA: UP/I-361-03/19-01/000054, URBROJ: 2182/1-16/2-19-0006</w:t>
      </w:r>
      <w:r w:rsidRPr="00610187">
        <w:rPr>
          <w:szCs w:val="20"/>
        </w:rPr>
        <w:t xml:space="preserve">, od </w:t>
      </w:r>
      <w:r w:rsidR="006A436C">
        <w:rPr>
          <w:szCs w:val="20"/>
        </w:rPr>
        <w:t>25</w:t>
      </w:r>
      <w:r w:rsidRPr="00610187">
        <w:rPr>
          <w:szCs w:val="20"/>
        </w:rPr>
        <w:t>.</w:t>
      </w:r>
      <w:r w:rsidR="006A436C">
        <w:rPr>
          <w:szCs w:val="20"/>
        </w:rPr>
        <w:t>10</w:t>
      </w:r>
      <w:r w:rsidRPr="00610187">
        <w:rPr>
          <w:szCs w:val="20"/>
        </w:rPr>
        <w:t xml:space="preserve">.2018.), pravomoćna od </w:t>
      </w:r>
      <w:r w:rsidR="006A436C">
        <w:rPr>
          <w:szCs w:val="20"/>
        </w:rPr>
        <w:t>28</w:t>
      </w:r>
      <w:r w:rsidRPr="00610187">
        <w:rPr>
          <w:szCs w:val="20"/>
        </w:rPr>
        <w:t>.</w:t>
      </w:r>
      <w:r w:rsidR="006A436C">
        <w:rPr>
          <w:szCs w:val="20"/>
        </w:rPr>
        <w:t>10</w:t>
      </w:r>
      <w:r w:rsidRPr="00610187">
        <w:rPr>
          <w:szCs w:val="20"/>
        </w:rPr>
        <w:t>.2018.</w:t>
      </w:r>
    </w:p>
    <w:p w14:paraId="2C5555F1" w14:textId="77777777" w:rsidR="0037516C" w:rsidRDefault="0037516C" w:rsidP="00455CA1">
      <w:pPr>
        <w:rPr>
          <w:b/>
          <w:szCs w:val="20"/>
        </w:rPr>
      </w:pPr>
    </w:p>
    <w:p w14:paraId="6D69607C" w14:textId="18EF3873" w:rsidR="00455CA1" w:rsidRPr="0078526B" w:rsidRDefault="00455CA1" w:rsidP="00455CA1">
      <w:pPr>
        <w:rPr>
          <w:b/>
          <w:szCs w:val="20"/>
        </w:rPr>
      </w:pPr>
      <w:r w:rsidRPr="0078526B">
        <w:rPr>
          <w:b/>
          <w:szCs w:val="20"/>
        </w:rPr>
        <w:t>Sanacija odlagališta</w:t>
      </w:r>
    </w:p>
    <w:p w14:paraId="7655EBEE" w14:textId="0339602C" w:rsidR="00455CA1" w:rsidRDefault="00455CA1" w:rsidP="00455CA1">
      <w:pPr>
        <w:rPr>
          <w:szCs w:val="20"/>
        </w:rPr>
      </w:pPr>
      <w:r w:rsidRPr="00610187">
        <w:rPr>
          <w:szCs w:val="20"/>
        </w:rPr>
        <w:t xml:space="preserve">Prema projektnoj dokumentaciji, sanacija </w:t>
      </w:r>
      <w:r w:rsidR="009223C0">
        <w:rPr>
          <w:szCs w:val="20"/>
        </w:rPr>
        <w:t>odlagališta neopasnog otpada</w:t>
      </w:r>
      <w:r w:rsidRPr="00610187">
        <w:rPr>
          <w:szCs w:val="20"/>
        </w:rPr>
        <w:t xml:space="preserve"> </w:t>
      </w:r>
      <w:r w:rsidR="00E55757">
        <w:rPr>
          <w:szCs w:val="20"/>
        </w:rPr>
        <w:t xml:space="preserve">„Moseć“ </w:t>
      </w:r>
      <w:r w:rsidRPr="00610187">
        <w:rPr>
          <w:szCs w:val="20"/>
        </w:rPr>
        <w:t xml:space="preserve">provest će se u skladu s Pravilnikom o načinima i uvjetima odlaganja otpada, kategorijama i uvjetima rada za </w:t>
      </w:r>
      <w:r w:rsidR="009223C0">
        <w:rPr>
          <w:szCs w:val="20"/>
        </w:rPr>
        <w:t>odlagališta neopasnog otpada</w:t>
      </w:r>
      <w:r w:rsidRPr="00610187">
        <w:rPr>
          <w:szCs w:val="20"/>
        </w:rPr>
        <w:t xml:space="preserve"> (NN 114/15, 103/18). Tehničko-tehnološko rješenje sanacije </w:t>
      </w:r>
      <w:r w:rsidR="009223C0">
        <w:rPr>
          <w:szCs w:val="20"/>
        </w:rPr>
        <w:t>odlagališta neopasnog otpada</w:t>
      </w:r>
      <w:r w:rsidRPr="00610187">
        <w:rPr>
          <w:szCs w:val="20"/>
        </w:rPr>
        <w:t xml:space="preserve"> </w:t>
      </w:r>
      <w:r w:rsidR="00E55757">
        <w:rPr>
          <w:szCs w:val="20"/>
        </w:rPr>
        <w:t xml:space="preserve">„Moseć“ </w:t>
      </w:r>
      <w:r w:rsidRPr="00610187">
        <w:rPr>
          <w:szCs w:val="20"/>
        </w:rPr>
        <w:t>obrađeno Glavnim projektom obuhvaća:</w:t>
      </w:r>
    </w:p>
    <w:p w14:paraId="7BB3C136" w14:textId="6726AAD0" w:rsidR="00455CA1" w:rsidRPr="0078526B" w:rsidRDefault="00E55757" w:rsidP="00455CA1">
      <w:pPr>
        <w:autoSpaceDE w:val="0"/>
        <w:autoSpaceDN w:val="0"/>
        <w:adjustRightInd w:val="0"/>
        <w:rPr>
          <w:rFonts w:cs="Tahoma"/>
          <w:color w:val="000000"/>
          <w:szCs w:val="20"/>
          <w:u w:val="single"/>
        </w:rPr>
      </w:pPr>
      <w:r>
        <w:rPr>
          <w:rFonts w:cs="Tahoma"/>
          <w:color w:val="000000"/>
          <w:szCs w:val="20"/>
          <w:u w:val="single"/>
        </w:rPr>
        <w:t xml:space="preserve">Iskop i premještanje </w:t>
      </w:r>
      <w:r w:rsidR="00455CA1" w:rsidRPr="0078526B">
        <w:rPr>
          <w:rFonts w:cs="Tahoma"/>
          <w:color w:val="000000"/>
          <w:szCs w:val="20"/>
          <w:u w:val="single"/>
        </w:rPr>
        <w:t xml:space="preserve">otpada </w:t>
      </w:r>
    </w:p>
    <w:p w14:paraId="4961DD69" w14:textId="77777777" w:rsidR="00E55757" w:rsidRPr="00E55757" w:rsidRDefault="00E55757" w:rsidP="00E55757">
      <w:pPr>
        <w:rPr>
          <w:rFonts w:cs="Tahoma"/>
          <w:color w:val="000000"/>
          <w:szCs w:val="20"/>
        </w:rPr>
      </w:pPr>
      <w:r w:rsidRPr="00E55757">
        <w:rPr>
          <w:rFonts w:cs="Tahoma"/>
          <w:color w:val="000000"/>
          <w:szCs w:val="20"/>
        </w:rPr>
        <w:t xml:space="preserve">Budući da je otpad u tijeku korištenja odlagališta odlagan neplanski, za vrijeme sanacijskih radova potrebno je napraviti minimalno 30 probnih iskopa, predvidive dubine oko 3 m, na više mjesta unutar i van granice obuhvata zahvata. Cilj izvođenja probnih raskopa je utvrditi točne količine i granicu rasprostiranja otpada. Kada se kroz probne iskope utvrde stvarne količine i rasprostiranje otpada, sav navedeni otpad je potrebno ukloniti i premjestiti na mjesto trajne ugradnje, a u svrhu zadovoljena tlocrtnih dimenzija saniranog odlagališta i projektnih visina. </w:t>
      </w:r>
    </w:p>
    <w:p w14:paraId="4A77D76A" w14:textId="77777777" w:rsidR="00E55757" w:rsidRPr="00E55757" w:rsidRDefault="00E55757" w:rsidP="00E55757">
      <w:pPr>
        <w:rPr>
          <w:rFonts w:cs="Tahoma"/>
          <w:color w:val="000000"/>
          <w:szCs w:val="20"/>
        </w:rPr>
      </w:pPr>
      <w:r w:rsidRPr="00E55757">
        <w:rPr>
          <w:rFonts w:cs="Tahoma"/>
          <w:color w:val="000000"/>
          <w:szCs w:val="20"/>
        </w:rPr>
        <w:t>Ukupna količina otpada koju je potrebno iskopati i premjestiti iznosi oko 12.000 m</w:t>
      </w:r>
      <w:r w:rsidRPr="00E55757">
        <w:rPr>
          <w:rFonts w:cs="Tahoma"/>
          <w:color w:val="000000"/>
          <w:szCs w:val="20"/>
          <w:vertAlign w:val="superscript"/>
        </w:rPr>
        <w:t>3</w:t>
      </w:r>
      <w:r w:rsidRPr="00E55757">
        <w:rPr>
          <w:rFonts w:cs="Tahoma"/>
          <w:color w:val="000000"/>
          <w:szCs w:val="20"/>
        </w:rPr>
        <w:t>. Sanacija će se izvršiti na način da se izvrši preslagivanje otpada kao bi se osigurali stabilni pokosi, te se otpad prekrije sa završnim prekrivnim sustavom. Samo oblikovanje odlagališta predviđa se izvesti na način da se što bolje uklopi u postojeći krajobraz. Ovim postupkom će se formirati krnja piramida sa stranicama pokosa u nagibu 1:3, dok će se krovna površina odlagališta izvesti u nagibu od 5 % koji je neophodan zbog odvodnje oborinskih voda.</w:t>
      </w:r>
    </w:p>
    <w:p w14:paraId="3A082935" w14:textId="3D51D20B" w:rsidR="00455CA1" w:rsidRDefault="00E55757" w:rsidP="00E55757">
      <w:pPr>
        <w:rPr>
          <w:rFonts w:cs="Tahoma"/>
          <w:color w:val="000000"/>
          <w:szCs w:val="20"/>
        </w:rPr>
      </w:pPr>
      <w:r w:rsidRPr="00E55757">
        <w:rPr>
          <w:rFonts w:cs="Tahoma"/>
          <w:color w:val="000000"/>
          <w:szCs w:val="20"/>
        </w:rPr>
        <w:t>Na području s kojeg će biti uklonjen otpad i zagađeno tlo potrebno je nasuti nezagađenu zemlju do razine okolnog terena, te ju dobro nabiti.</w:t>
      </w:r>
      <w:r w:rsidR="00455CA1" w:rsidRPr="0078526B">
        <w:rPr>
          <w:rFonts w:cs="Tahoma"/>
          <w:color w:val="000000"/>
          <w:szCs w:val="20"/>
        </w:rPr>
        <w:t xml:space="preserve"> </w:t>
      </w:r>
    </w:p>
    <w:p w14:paraId="6621A201" w14:textId="77777777" w:rsidR="00455CA1" w:rsidRPr="0078526B" w:rsidRDefault="00455CA1" w:rsidP="00455CA1">
      <w:pPr>
        <w:rPr>
          <w:rFonts w:cs="Tahoma"/>
          <w:szCs w:val="20"/>
          <w:u w:val="single"/>
        </w:rPr>
      </w:pPr>
      <w:r w:rsidRPr="0078526B">
        <w:rPr>
          <w:rFonts w:cs="Tahoma"/>
          <w:szCs w:val="20"/>
          <w:u w:val="single"/>
        </w:rPr>
        <w:t>Obodni nasip</w:t>
      </w:r>
    </w:p>
    <w:p w14:paraId="3350F2B4" w14:textId="77777777" w:rsidR="00455CA1" w:rsidRPr="0078526B" w:rsidRDefault="00455CA1" w:rsidP="00455CA1">
      <w:pPr>
        <w:rPr>
          <w:rFonts w:cs="Tahoma"/>
          <w:szCs w:val="20"/>
        </w:rPr>
      </w:pPr>
      <w:r w:rsidRPr="0078526B">
        <w:rPr>
          <w:rFonts w:cs="Tahoma"/>
          <w:szCs w:val="20"/>
        </w:rPr>
        <w:t>Izgradnja obodnog nasipa je predviđena na zapadnoj i južnoj strani odlagališta radi definiranja granice odlagališta, povećanja ukupnog kapaciteta odlagališta te osiguranja stabilnosti tijela odlagališta. Obodni nasip će se izvesti od kamenog materijala iz iskopa. Iskop kamenog materijala za potrebe izgradnje obodnog nasipa izvest će se na sjeveroistočnoj strani odlagališta, nakon što se ukloni sav postojeći otpad na tom mjestu. Ukupna količina kamenog materijala kojeg je potrebno iskopati, obraditi i ugraditi u obodni nasip, obodnu cestu i prometno manipulativne površina iznosi približno 18.500 m</w:t>
      </w:r>
      <w:r w:rsidRPr="0078526B">
        <w:rPr>
          <w:rFonts w:cs="Tahoma"/>
          <w:szCs w:val="20"/>
          <w:vertAlign w:val="superscript"/>
        </w:rPr>
        <w:t>3</w:t>
      </w:r>
      <w:r w:rsidRPr="0078526B">
        <w:rPr>
          <w:rFonts w:cs="Tahoma"/>
          <w:szCs w:val="20"/>
        </w:rPr>
        <w:t>. Obodni nasip je ukupne duljine 244,84 m i promjenjive visine koja prati konfiguraciju terena. U kruni obodnog nasipa izvest će se otvoreni betonski kanal za prikupljanje oborinskih voda s prekrivnog brtvenog sustava.</w:t>
      </w:r>
    </w:p>
    <w:p w14:paraId="437BC446" w14:textId="44BBEFF6" w:rsidR="00455CA1" w:rsidRPr="0078526B" w:rsidRDefault="00E55757" w:rsidP="00455CA1">
      <w:pPr>
        <w:rPr>
          <w:rFonts w:cs="Tahoma"/>
          <w:szCs w:val="20"/>
          <w:u w:val="single"/>
        </w:rPr>
      </w:pPr>
      <w:r>
        <w:rPr>
          <w:rFonts w:cs="Tahoma"/>
          <w:szCs w:val="20"/>
          <w:u w:val="single"/>
        </w:rPr>
        <w:t>Završni prekrivni sustav</w:t>
      </w:r>
    </w:p>
    <w:p w14:paraId="1AE00D2C" w14:textId="77777777" w:rsidR="00E55757" w:rsidRPr="00E55757" w:rsidRDefault="00E55757" w:rsidP="00E55757">
      <w:pPr>
        <w:rPr>
          <w:rFonts w:cs="Tahoma"/>
          <w:szCs w:val="20"/>
        </w:rPr>
      </w:pPr>
      <w:r w:rsidRPr="00E55757">
        <w:rPr>
          <w:rFonts w:cs="Tahoma"/>
          <w:szCs w:val="20"/>
        </w:rPr>
        <w:t>Nakon što se cjelokupni postojeći otpad oblikuje prema projektu, prekrit će se završnim prekrivnim sustavom, s ciljem minimiziranja količine oborinske vode koja će se procjeđivati u otpad, te dalje u podzemlje. Nakon izravnavajućeg sloja od mješovitog materijala, debljine 25 cm, pristupa se ugradnji drenažnog sloja sustava za otplinjavanje i to slojem troslojnog geokompozita za plin.</w:t>
      </w:r>
    </w:p>
    <w:p w14:paraId="20660A88" w14:textId="77777777" w:rsidR="00E55757" w:rsidRPr="00E55757" w:rsidRDefault="00E55757" w:rsidP="00E55757">
      <w:pPr>
        <w:rPr>
          <w:rFonts w:cs="Tahoma"/>
          <w:szCs w:val="20"/>
        </w:rPr>
      </w:pPr>
      <w:r w:rsidRPr="00E55757">
        <w:rPr>
          <w:rFonts w:cs="Tahoma"/>
          <w:szCs w:val="20"/>
        </w:rPr>
        <w:lastRenderedPageBreak/>
        <w:t>U funkciji brtvenog sloja ovim projektom predviđa se ugraditi geokompozitni bentonitni tepih (GCL – netkani + tkani) adekvatan sloju gline debljine 100 cm s koeficijentom propusnosti k=10</w:t>
      </w:r>
      <w:r w:rsidRPr="00E55757">
        <w:rPr>
          <w:rFonts w:cs="Tahoma"/>
          <w:szCs w:val="20"/>
          <w:vertAlign w:val="superscript"/>
        </w:rPr>
        <w:t>-9</w:t>
      </w:r>
      <w:r w:rsidRPr="00E55757">
        <w:rPr>
          <w:rFonts w:cs="Tahoma"/>
          <w:szCs w:val="20"/>
        </w:rPr>
        <w:t xml:space="preserve"> m/s na koji se postavlja obostrano hrapava LLDPE geomembrana debljine 1,5 mm.</w:t>
      </w:r>
    </w:p>
    <w:p w14:paraId="05AECA11" w14:textId="77777777" w:rsidR="00E55757" w:rsidRPr="00E55757" w:rsidRDefault="00E55757" w:rsidP="00E55757">
      <w:pPr>
        <w:rPr>
          <w:rFonts w:cs="Tahoma"/>
          <w:szCs w:val="20"/>
        </w:rPr>
      </w:pPr>
      <w:r w:rsidRPr="00E55757">
        <w:rPr>
          <w:rFonts w:cs="Tahoma"/>
          <w:szCs w:val="20"/>
        </w:rPr>
        <w:t>Kao drenažni sloj za prihvat procijeđene oborinske vode predviđena je ugradnja troslojnog geokompozita za oborinsku vodu. Oborinske vode koje se slijevaju niz pokos odlagališta i djelomično procjeđuju kroz rekultivirajući sloj zahvaćaju se troslojnim geokompozitom za oborinske vode. U nožici pokosa odlagališta predviđa se izvođenje šljunčanog drena za oborinsku vodu. Šljunčani dren se izvodi od šljunčanog materijala granulacije 16 – 32 mm i oblaže sa razdjelnim geotekstilom 400 g/m</w:t>
      </w:r>
      <w:r w:rsidRPr="00E55757">
        <w:rPr>
          <w:rFonts w:cs="Tahoma"/>
          <w:szCs w:val="20"/>
          <w:vertAlign w:val="superscript"/>
        </w:rPr>
        <w:t>2</w:t>
      </w:r>
      <w:r w:rsidRPr="00E55757">
        <w:rPr>
          <w:rFonts w:cs="Tahoma"/>
          <w:szCs w:val="20"/>
        </w:rPr>
        <w:t>.</w:t>
      </w:r>
    </w:p>
    <w:p w14:paraId="1D8AACAB" w14:textId="77777777" w:rsidR="00E55757" w:rsidRPr="00E55757" w:rsidRDefault="00E55757" w:rsidP="00E55757">
      <w:pPr>
        <w:rPr>
          <w:rFonts w:cs="Tahoma"/>
          <w:szCs w:val="20"/>
        </w:rPr>
      </w:pPr>
      <w:r w:rsidRPr="00E55757">
        <w:rPr>
          <w:rFonts w:cs="Tahoma"/>
          <w:szCs w:val="20"/>
        </w:rPr>
        <w:t>Na pokosima odlagališta nakon ugradnje troslojnog geokompozita za oborinsku vodu, u svrhu osiguranja dodatne stabilnosti završnog prekrivnog sustava, ugradit će se armirano geopletivo.</w:t>
      </w:r>
    </w:p>
    <w:p w14:paraId="6C0EE254" w14:textId="77777777" w:rsidR="00E55757" w:rsidRPr="00E55757" w:rsidRDefault="00E55757" w:rsidP="00E55757">
      <w:pPr>
        <w:rPr>
          <w:rFonts w:cs="Tahoma"/>
          <w:szCs w:val="20"/>
        </w:rPr>
      </w:pPr>
      <w:r w:rsidRPr="00E55757">
        <w:rPr>
          <w:rFonts w:cs="Tahoma"/>
          <w:szCs w:val="20"/>
        </w:rPr>
        <w:t>Rekultivirajući sloj izvest će se od dva sloja mješovitog materijala, razdjelnog geotekstila i humusa. Prvo će se ugraditi sloj od mješovitog materijala debljine sloja 30 cm (maksimalna veličina zrna 5 cm) u svrhu zaštite troslojnog geokompozita za oborinsku vodu. Nakon toga pristupa se ugradnji sloja od mješovitog materijala debljine 40 cm i netkanog geotekstila 300 g/m</w:t>
      </w:r>
      <w:r w:rsidRPr="00E55757">
        <w:rPr>
          <w:rFonts w:cs="Tahoma"/>
          <w:szCs w:val="20"/>
          <w:vertAlign w:val="superscript"/>
        </w:rPr>
        <w:t>2</w:t>
      </w:r>
      <w:r w:rsidRPr="00E55757">
        <w:rPr>
          <w:rFonts w:cs="Tahoma"/>
          <w:szCs w:val="20"/>
        </w:rPr>
        <w:t xml:space="preserve"> na koji će se ugraditi sloj humusa debljine 30 cm.</w:t>
      </w:r>
    </w:p>
    <w:p w14:paraId="120D91ED" w14:textId="4702AE19" w:rsidR="00E55757" w:rsidRPr="00E55757" w:rsidRDefault="00E55757" w:rsidP="00E55757">
      <w:pPr>
        <w:rPr>
          <w:rFonts w:cs="Tahoma"/>
          <w:szCs w:val="20"/>
        </w:rPr>
      </w:pPr>
      <w:r w:rsidRPr="00E55757">
        <w:rPr>
          <w:rFonts w:cs="Tahoma"/>
          <w:szCs w:val="20"/>
        </w:rPr>
        <w:t>Nagib završnog prekrivnog sustava prati nagib vrha preoblikovanog tijela odlagališta. Stoga će nagib na bočnim stranicama tijela odlagališta nakon prekrivanja završnim prekrivnim sustavom iznositi 1:3, dok će nagib krovnog dijela odlagališta iznosi 5%. Najviša kota prekrivenog odlagališta iznosi oko 365.90 m n.m.</w:t>
      </w:r>
    </w:p>
    <w:p w14:paraId="66984EC8" w14:textId="04482449" w:rsidR="00455CA1" w:rsidRPr="00D42AFE" w:rsidRDefault="00E55757" w:rsidP="00E55757">
      <w:pPr>
        <w:rPr>
          <w:rFonts w:cs="Tahoma"/>
          <w:szCs w:val="20"/>
        </w:rPr>
      </w:pPr>
      <w:r w:rsidRPr="00E55757">
        <w:rPr>
          <w:rFonts w:cs="Tahoma"/>
          <w:szCs w:val="20"/>
        </w:rPr>
        <w:t>Za potrebe praćenja slijeganja (i pomaka) površine tijela odlagališta nakon prekrivanja završnim prekrivnim sustavom, na točno određenim mjestima odlagališta će se ugraditi ukupno 10 geodetskih repera.</w:t>
      </w:r>
    </w:p>
    <w:p w14:paraId="7C134138" w14:textId="3DD8A697" w:rsidR="00455CA1" w:rsidRPr="0078526B" w:rsidRDefault="00E55757" w:rsidP="00455CA1">
      <w:pPr>
        <w:rPr>
          <w:rFonts w:cs="Tahoma"/>
          <w:szCs w:val="20"/>
          <w:u w:val="single"/>
        </w:rPr>
      </w:pPr>
      <w:r>
        <w:rPr>
          <w:rFonts w:cs="Tahoma"/>
          <w:szCs w:val="20"/>
          <w:u w:val="single"/>
        </w:rPr>
        <w:t>Sustav za otplinjavanje</w:t>
      </w:r>
    </w:p>
    <w:p w14:paraId="5CBDB32E" w14:textId="77777777" w:rsidR="00E55757" w:rsidRPr="00E55757" w:rsidRDefault="00E55757" w:rsidP="00E55757">
      <w:pPr>
        <w:rPr>
          <w:rFonts w:cs="Tahoma"/>
          <w:szCs w:val="20"/>
        </w:rPr>
      </w:pPr>
      <w:r w:rsidRPr="00E55757">
        <w:rPr>
          <w:rFonts w:cs="Tahoma"/>
          <w:szCs w:val="20"/>
        </w:rPr>
        <w:t>Izvest će se sustav pasivnog otplinjavanja kojeg čini drenažni sloj sustava za otplinjavanje i to sloj troslojnog geokompozita za plin koji se postavlja ispod GCL-a. U tom sloju bi se sakupljao plin. Plin koji se prikupi na ovaj način ispuštao bi se preko plinskih odušnika (biofiltera) postavljenih na karakterističnim mjestima na višim kotama odlagališta (na krovnom dijelu odlagališta).</w:t>
      </w:r>
    </w:p>
    <w:p w14:paraId="748FE4DE" w14:textId="77777777" w:rsidR="00E55757" w:rsidRPr="00E55757" w:rsidRDefault="00E55757" w:rsidP="00E55757">
      <w:pPr>
        <w:rPr>
          <w:rFonts w:cs="Tahoma"/>
          <w:szCs w:val="20"/>
        </w:rPr>
      </w:pPr>
      <w:r w:rsidRPr="00E55757">
        <w:rPr>
          <w:rFonts w:cs="Tahoma"/>
          <w:szCs w:val="20"/>
        </w:rPr>
        <w:t>Predviđeno je izvođenje ukupno 6 zdenaca s biofilterima i ispusta na krovnom dijelu presloženog otpada. Ovi će se zdenci izgraditi u sklopu sanacije i prekrivanja otpada i biti će međusobno povezani šljunčanim plinodrenažnim rovovima.</w:t>
      </w:r>
    </w:p>
    <w:p w14:paraId="09B9F722" w14:textId="40FFEE1D" w:rsidR="00455CA1" w:rsidRPr="0078526B" w:rsidRDefault="00E55757" w:rsidP="00E55757">
      <w:pPr>
        <w:rPr>
          <w:rFonts w:cs="Tahoma"/>
          <w:szCs w:val="20"/>
        </w:rPr>
      </w:pPr>
      <w:r w:rsidRPr="00E55757">
        <w:rPr>
          <w:rFonts w:cs="Tahoma"/>
          <w:szCs w:val="20"/>
        </w:rPr>
        <w:t>Sam biofilter se sastoji od komposta kojeg čine zeleni otpad (90% volumena biofiltera) i svježa piljevina (10% volumena biofiltera), te ga je potrebno izmjenjivati najmanje jednom godišnje. Kako bi se mogle pratiti emisije količine i sastava odlagališnog plina u biofilteru, potrebno je obavljati mjerenja na mjernom ventilu.</w:t>
      </w:r>
    </w:p>
    <w:p w14:paraId="3E4A9B82" w14:textId="1FE1B9AD" w:rsidR="00455CA1" w:rsidRPr="0078526B" w:rsidRDefault="00E55757" w:rsidP="00455CA1">
      <w:pPr>
        <w:rPr>
          <w:rFonts w:cs="Tahoma"/>
          <w:szCs w:val="20"/>
          <w:u w:val="single"/>
        </w:rPr>
      </w:pPr>
      <w:r>
        <w:rPr>
          <w:rFonts w:cs="Tahoma"/>
          <w:szCs w:val="20"/>
          <w:u w:val="single"/>
        </w:rPr>
        <w:t>Sustav prikupljanja i odvodnje oborinskih voda</w:t>
      </w:r>
    </w:p>
    <w:p w14:paraId="18938F87" w14:textId="53573238" w:rsidR="00E55757" w:rsidRPr="00E55757" w:rsidRDefault="00E55757" w:rsidP="00E55757">
      <w:pPr>
        <w:rPr>
          <w:rFonts w:cs="Tahoma"/>
          <w:szCs w:val="20"/>
        </w:rPr>
      </w:pPr>
      <w:r w:rsidRPr="00E55757">
        <w:rPr>
          <w:rFonts w:cs="Tahoma"/>
          <w:szCs w:val="20"/>
        </w:rPr>
        <w:t xml:space="preserve">Oko cijelog tijela odlagališta izvesti će se obodni kanal za prihvat i odvođenje (čistih) oborinskih voda sa prekrivenog tijela odlagališta, interne makadamske prometnice te viših okolnih područja. Obodni kanali postavljaju se uz rub nožice pokosa odlagališta. U obodnom kanalu se postavljaju dvije armiranobetonske taložnice. Jedna se postavlja na zapadnu, a druga na sjeveroistočnu stranu </w:t>
      </w:r>
      <w:r w:rsidR="009223C0">
        <w:rPr>
          <w:rFonts w:cs="Tahoma"/>
          <w:szCs w:val="20"/>
        </w:rPr>
        <w:t>odlagališta neopasnog otpada</w:t>
      </w:r>
      <w:r w:rsidRPr="00E55757">
        <w:rPr>
          <w:rFonts w:cs="Tahoma"/>
          <w:szCs w:val="20"/>
        </w:rPr>
        <w:t xml:space="preserve">. </w:t>
      </w:r>
    </w:p>
    <w:p w14:paraId="6FF5FD2A" w14:textId="3E1AF2DC" w:rsidR="00E55757" w:rsidRPr="00E55757" w:rsidRDefault="00E55757" w:rsidP="00E55757">
      <w:pPr>
        <w:rPr>
          <w:rFonts w:cs="Tahoma"/>
          <w:szCs w:val="20"/>
        </w:rPr>
      </w:pPr>
      <w:r w:rsidRPr="00E55757">
        <w:rPr>
          <w:rFonts w:cs="Tahoma"/>
          <w:szCs w:val="20"/>
        </w:rPr>
        <w:t xml:space="preserve">Oborinske vode prikupljene obodnim kanalima K1 i K2 se odvode do taložnika T1 na sjeveroistočnoj strani </w:t>
      </w:r>
      <w:r w:rsidR="009223C0">
        <w:rPr>
          <w:rFonts w:cs="Tahoma"/>
          <w:szCs w:val="20"/>
        </w:rPr>
        <w:t>odlagališta neopasnog otpada</w:t>
      </w:r>
      <w:r w:rsidRPr="00E55757">
        <w:rPr>
          <w:rFonts w:cs="Tahoma"/>
          <w:szCs w:val="20"/>
        </w:rPr>
        <w:t xml:space="preserve">, te se preko cjevovoda od PEHD DN 315 mm, kontrolnog mjernog okna KO1 i infiltracijskog sustava oborinske odvodnje ISO1 (upojni sustav) upuštaju u podzemlje unutar granice obuhvata zahvata. Oborinske vode prikupljene obodnim kanalima K3 i K4 se odvode do taložnika T2 na zapadnoj strani </w:t>
      </w:r>
      <w:r w:rsidR="009223C0">
        <w:rPr>
          <w:rFonts w:cs="Tahoma"/>
          <w:szCs w:val="20"/>
        </w:rPr>
        <w:t>odlagališta neopasnog otpada</w:t>
      </w:r>
      <w:r w:rsidRPr="00E55757">
        <w:rPr>
          <w:rFonts w:cs="Tahoma"/>
          <w:szCs w:val="20"/>
        </w:rPr>
        <w:t xml:space="preserve">, te se preko cjevovoda od PEHD DN 500 mm, </w:t>
      </w:r>
      <w:r w:rsidRPr="00E55757">
        <w:rPr>
          <w:rFonts w:cs="Tahoma"/>
          <w:szCs w:val="20"/>
        </w:rPr>
        <w:lastRenderedPageBreak/>
        <w:t>kontrolnog mjernog okna KO2 i infiltracijskog sustava oborinske odvodnje ISO2 (upojni sustav) upuštaju u podzemlje unutar granice obuhvata zahvata.</w:t>
      </w:r>
    </w:p>
    <w:p w14:paraId="4F3CA0FE" w14:textId="15D4AD38" w:rsidR="00455CA1" w:rsidRDefault="00E55757" w:rsidP="00E55757">
      <w:pPr>
        <w:rPr>
          <w:rFonts w:cs="Tahoma"/>
          <w:szCs w:val="20"/>
        </w:rPr>
      </w:pPr>
      <w:r w:rsidRPr="00E55757">
        <w:rPr>
          <w:rFonts w:cs="Tahoma"/>
          <w:szCs w:val="20"/>
        </w:rPr>
        <w:t>Sustav prikupljanja i odvodnje oborinskih voda čini obodni kanal (trapezoidnog oblika, od prefabriciranih betonskih kanalica s usporivačima brzine toka vode), armirano betonski propust (ispod cijele širine obodne prometnice, od taložnice T3 do taložnice T4), četiri armirano betonske taložnice, kontrolno mjerno okno, upojni sustav (sustav za prikupljanje oborinskih voda i njihovo ispuštanje u podzemni propusni  retencijski sustav izgrađen iz plastičnih (polipropilenskih) rešetkastih blokova) i cjevovod kanalizacije.</w:t>
      </w:r>
    </w:p>
    <w:p w14:paraId="63F91726" w14:textId="55A8FD4F" w:rsidR="00455CA1" w:rsidRPr="00D42AFE" w:rsidRDefault="00E55757" w:rsidP="00455CA1">
      <w:pPr>
        <w:rPr>
          <w:rFonts w:cs="Tahoma"/>
          <w:szCs w:val="20"/>
          <w:u w:val="single"/>
        </w:rPr>
      </w:pPr>
      <w:r>
        <w:rPr>
          <w:rFonts w:cs="Tahoma"/>
          <w:szCs w:val="20"/>
          <w:u w:val="single"/>
        </w:rPr>
        <w:t>Izvedba obodnog nasipa</w:t>
      </w:r>
    </w:p>
    <w:p w14:paraId="73C21715" w14:textId="77777777" w:rsidR="00E55757" w:rsidRPr="00E55757" w:rsidRDefault="00E55757" w:rsidP="00E55757">
      <w:pPr>
        <w:rPr>
          <w:rFonts w:cs="Tahoma"/>
          <w:szCs w:val="20"/>
        </w:rPr>
      </w:pPr>
      <w:r w:rsidRPr="00E55757">
        <w:rPr>
          <w:rFonts w:cs="Tahoma"/>
          <w:szCs w:val="20"/>
        </w:rPr>
        <w:t>Oko dijela prostora tijela odlagališta izvesti će se obodni nasip promjenjive širine i promjenjive visine kako bi se osigurao pad u obodnom kanalu.</w:t>
      </w:r>
    </w:p>
    <w:p w14:paraId="77FC8938" w14:textId="77777777" w:rsidR="00E55757" w:rsidRPr="00E55757" w:rsidRDefault="00E55757" w:rsidP="00E55757">
      <w:pPr>
        <w:rPr>
          <w:rFonts w:cs="Tahoma"/>
          <w:szCs w:val="20"/>
        </w:rPr>
      </w:pPr>
      <w:r w:rsidRPr="00E55757">
        <w:rPr>
          <w:rFonts w:cs="Tahoma"/>
          <w:szCs w:val="20"/>
        </w:rPr>
        <w:t>Na kruni obodnog nasipa sa istočne strane nalaziti će se interna makadamska prometnica i obodni kanal oko tijela odlagališta, a na svim ostalim dijelovima će biti obodni kanal. Širina krune obodnog nasipa na mjestu makadamske prometnice i obodnog kanala iznosi oko 8 m, a na mjestu gdje se nalazi samo obodni kanal iznosi oko 3 m. Vanjski pokos obodnog nasipa izvodi se u nagibu od 1:2.</w:t>
      </w:r>
    </w:p>
    <w:p w14:paraId="65F9F5B4" w14:textId="7CEF28CF" w:rsidR="00455CA1" w:rsidRPr="00D42AFE" w:rsidRDefault="00E55757" w:rsidP="00E55757">
      <w:pPr>
        <w:rPr>
          <w:rFonts w:cs="Tahoma"/>
          <w:szCs w:val="20"/>
        </w:rPr>
      </w:pPr>
      <w:r w:rsidRPr="00E55757">
        <w:rPr>
          <w:rFonts w:cs="Tahoma"/>
          <w:szCs w:val="20"/>
        </w:rPr>
        <w:t>Vanjski dio obodnog nasipa do obodnog kanala se može izvoditi od kamenitih ili mješovitih materijalima, dok će se unutarnji dio nasipa izvoditi od glinovitih materijala.</w:t>
      </w:r>
    </w:p>
    <w:p w14:paraId="4153DF9E" w14:textId="5783DC88" w:rsidR="00455CA1" w:rsidRDefault="00E55757" w:rsidP="00455CA1">
      <w:pPr>
        <w:rPr>
          <w:rFonts w:cs="Tahoma"/>
          <w:szCs w:val="20"/>
          <w:u w:val="single"/>
        </w:rPr>
      </w:pPr>
      <w:r>
        <w:rPr>
          <w:rFonts w:cs="Tahoma"/>
          <w:szCs w:val="20"/>
          <w:u w:val="single"/>
        </w:rPr>
        <w:t>Interne prometne površine</w:t>
      </w:r>
    </w:p>
    <w:p w14:paraId="3F4B485B" w14:textId="7DD4F770" w:rsidR="00E55757" w:rsidRPr="00E55757" w:rsidRDefault="00E55757" w:rsidP="00E55757">
      <w:pPr>
        <w:rPr>
          <w:rFonts w:cs="Tahoma"/>
          <w:szCs w:val="20"/>
        </w:rPr>
      </w:pPr>
      <w:r w:rsidRPr="00E55757">
        <w:rPr>
          <w:rFonts w:cs="Tahoma"/>
          <w:szCs w:val="20"/>
        </w:rPr>
        <w:t xml:space="preserve">U sklopu sanacije </w:t>
      </w:r>
      <w:r w:rsidR="009223C0">
        <w:rPr>
          <w:rFonts w:cs="Tahoma"/>
          <w:szCs w:val="20"/>
        </w:rPr>
        <w:t>odlagališta neopasnog otpada</w:t>
      </w:r>
      <w:r w:rsidRPr="00E55757">
        <w:rPr>
          <w:rFonts w:cs="Tahoma"/>
          <w:szCs w:val="20"/>
        </w:rPr>
        <w:t xml:space="preserve"> ''Moseć'' predviđena je izgradnja interne makadamske prometnice (protupožarni put) za potrebe održavanja prostora odlagališta. Servisna prometnica je makadamska, širine 4 m sa obostranim bankinama širine 1 m. Na kraju servisne prometnice izvesti će se okretište.</w:t>
      </w:r>
    </w:p>
    <w:p w14:paraId="4623A592" w14:textId="77777777" w:rsidR="00E55757" w:rsidRPr="00E55757" w:rsidRDefault="00E55757" w:rsidP="00E55757">
      <w:pPr>
        <w:rPr>
          <w:rFonts w:cs="Tahoma"/>
          <w:szCs w:val="20"/>
        </w:rPr>
      </w:pPr>
      <w:r w:rsidRPr="00E55757">
        <w:rPr>
          <w:rFonts w:cs="Tahoma"/>
          <w:szCs w:val="20"/>
        </w:rPr>
        <w:t>Kolnička konstrukcija interne makadamske prometnice je sljedećeg sastava: mehanički zbijeni nosivi sloj šljunčanog materijala (0-63 mm) debljine 50 cm i netkani geotekstil 400 g/m</w:t>
      </w:r>
      <w:r w:rsidRPr="00E55757">
        <w:rPr>
          <w:rFonts w:cs="Tahoma"/>
          <w:szCs w:val="20"/>
          <w:vertAlign w:val="superscript"/>
        </w:rPr>
        <w:t>2</w:t>
      </w:r>
      <w:r w:rsidRPr="00E55757">
        <w:rPr>
          <w:rFonts w:cs="Tahoma"/>
          <w:szCs w:val="20"/>
        </w:rPr>
        <w:t>.</w:t>
      </w:r>
    </w:p>
    <w:p w14:paraId="6093BC10" w14:textId="77777777" w:rsidR="00E55757" w:rsidRPr="00E55757" w:rsidRDefault="00E55757" w:rsidP="00E55757">
      <w:pPr>
        <w:rPr>
          <w:rFonts w:cs="Tahoma"/>
          <w:szCs w:val="20"/>
        </w:rPr>
      </w:pPr>
      <w:r w:rsidRPr="00E55757">
        <w:rPr>
          <w:rFonts w:cs="Tahoma"/>
          <w:szCs w:val="20"/>
        </w:rPr>
        <w:t>Vertikalna prometna signalizacija izvodi se sa znakom standardne dimenzije 60x60 cm ili promjera 60 cm u reflektirajućoj tehnici, koji se postavljaju na vlastite stupove. Od vertikalne signalizacije biti će postavljeni znakovi „STOP“ i znak ograničenja brzine 20 km/h, sve u skladu s Pravilnikom o prometnim znakovima i signalizaciji na cestama (NN 33/05, 64/05, 155/05, 14/11, 25/15) i hrvatskim normama.</w:t>
      </w:r>
    </w:p>
    <w:p w14:paraId="1EA28C7A" w14:textId="77777777" w:rsidR="00E55757" w:rsidRPr="00E55757" w:rsidRDefault="00E55757" w:rsidP="00E55757">
      <w:pPr>
        <w:rPr>
          <w:rFonts w:cs="Tahoma"/>
          <w:szCs w:val="20"/>
          <w:u w:val="single"/>
        </w:rPr>
      </w:pPr>
      <w:r w:rsidRPr="00E55757">
        <w:rPr>
          <w:rFonts w:cs="Tahoma"/>
          <w:szCs w:val="20"/>
          <w:u w:val="single"/>
        </w:rPr>
        <w:t>Ograda i ulaz u prostor odlagališta</w:t>
      </w:r>
    </w:p>
    <w:p w14:paraId="5CF3F5EA" w14:textId="31CE41BB" w:rsidR="00E55757" w:rsidRPr="00E55757" w:rsidRDefault="00E55757" w:rsidP="00E55757">
      <w:pPr>
        <w:rPr>
          <w:rFonts w:cs="Tahoma"/>
          <w:szCs w:val="20"/>
        </w:rPr>
      </w:pPr>
      <w:r w:rsidRPr="00E55757">
        <w:rPr>
          <w:rFonts w:cs="Tahoma"/>
          <w:szCs w:val="20"/>
        </w:rPr>
        <w:t xml:space="preserve">Ulaz u prostor </w:t>
      </w:r>
      <w:r w:rsidR="009223C0">
        <w:rPr>
          <w:rFonts w:cs="Tahoma"/>
          <w:szCs w:val="20"/>
        </w:rPr>
        <w:t>odlagališta neopasnog otpada</w:t>
      </w:r>
      <w:r w:rsidRPr="00E55757">
        <w:rPr>
          <w:rFonts w:cs="Tahoma"/>
          <w:szCs w:val="20"/>
        </w:rPr>
        <w:t xml:space="preserve"> omogućen je sa sjeveroistočne strane kroz ulazno izlazna vrata širine 4 m.</w:t>
      </w:r>
    </w:p>
    <w:p w14:paraId="162E0ACC" w14:textId="77777777" w:rsidR="00E55757" w:rsidRPr="00E55757" w:rsidRDefault="00E55757" w:rsidP="00E55757">
      <w:pPr>
        <w:rPr>
          <w:rFonts w:cs="Tahoma"/>
          <w:szCs w:val="20"/>
        </w:rPr>
      </w:pPr>
      <w:r w:rsidRPr="00E55757">
        <w:rPr>
          <w:rFonts w:cs="Tahoma"/>
          <w:szCs w:val="20"/>
        </w:rPr>
        <w:t>Ograda oko prostora odlagališta je visine 2,0 m, te duljine 546 m. Osnovna namjena ograde je sprječavanje pristupa neovlaštenim osobama, te omogućavanje kontrole pristupa na odlagalište otpada. Ogradu oko prostora odlagališta je potrebno uzemljiti. Svakih 10 m se zabije sonda te se poveže s jedne strane trakom preko križne spojnice na sondu, a s druge strane varenjem na ogradu odnosno stup. Zatim se cink sprejom popravi uništeni ili oštećeni dio cinka na traci kako ne bi dalje hrđala.</w:t>
      </w:r>
    </w:p>
    <w:p w14:paraId="7F60E017" w14:textId="77777777" w:rsidR="00E55757" w:rsidRPr="00E55757" w:rsidRDefault="00E55757" w:rsidP="00E55757">
      <w:pPr>
        <w:rPr>
          <w:rFonts w:cs="Tahoma"/>
          <w:szCs w:val="20"/>
          <w:u w:val="single"/>
        </w:rPr>
      </w:pPr>
      <w:r w:rsidRPr="00E55757">
        <w:rPr>
          <w:rFonts w:cs="Tahoma"/>
          <w:szCs w:val="20"/>
          <w:u w:val="single"/>
        </w:rPr>
        <w:t>Piezometri</w:t>
      </w:r>
    </w:p>
    <w:p w14:paraId="4281C419" w14:textId="77777777" w:rsidR="00E55757" w:rsidRPr="00E55757" w:rsidRDefault="00E55757" w:rsidP="00E55757">
      <w:pPr>
        <w:rPr>
          <w:rFonts w:cs="Tahoma"/>
          <w:szCs w:val="20"/>
        </w:rPr>
      </w:pPr>
      <w:r w:rsidRPr="00E55757">
        <w:rPr>
          <w:rFonts w:cs="Tahoma"/>
          <w:szCs w:val="20"/>
        </w:rPr>
        <w:t>U cilju mjerenja sastava i razine podzemne vode na lokaciji predviđa se izvođenje nova 3 piezometra unutar granice zahvata, 1 uzvodno (PZ1) i 2 nizvodno (PZ2 i PZ3) od tijela odlagališta. Dubina piezometra uzvodno od tijela odlagališta je 20 m, a dubina piezometara nizvodno od tijela odlagališta je 10 m. Konstrukcija piezometara ovisi o nabušenom profilu tla.</w:t>
      </w:r>
    </w:p>
    <w:p w14:paraId="074CC2BC" w14:textId="77777777" w:rsidR="00E55757" w:rsidRPr="00E55757" w:rsidRDefault="00E55757" w:rsidP="00E55757">
      <w:pPr>
        <w:rPr>
          <w:rFonts w:cs="Tahoma"/>
          <w:szCs w:val="20"/>
          <w:u w:val="single"/>
        </w:rPr>
      </w:pPr>
      <w:r w:rsidRPr="00E55757">
        <w:rPr>
          <w:rFonts w:cs="Tahoma"/>
          <w:szCs w:val="20"/>
          <w:u w:val="single"/>
        </w:rPr>
        <w:t>Krajobrazno uređenje gradilišta</w:t>
      </w:r>
    </w:p>
    <w:p w14:paraId="78B03A59" w14:textId="26D75CFF" w:rsidR="00E55757" w:rsidRPr="00E55757" w:rsidRDefault="00E55757" w:rsidP="00E55757">
      <w:pPr>
        <w:rPr>
          <w:rFonts w:cs="Tahoma"/>
          <w:szCs w:val="20"/>
        </w:rPr>
      </w:pPr>
      <w:r w:rsidRPr="00E55757">
        <w:rPr>
          <w:rFonts w:cs="Tahoma"/>
          <w:szCs w:val="20"/>
        </w:rPr>
        <w:lastRenderedPageBreak/>
        <w:t>Projektom je predviđeno prekrivanje odlagališta završnim prekrivnim sustavom. Na vrh završnog prekrivnog sustava postavlja se sloj humusa debljine 30 cm te se nakon toga vrši zatravnjivanje cijele površine tijela odlagališta hidrosjetvom. S obzirom da se lokacija odlagališta nalazi na krškom području s niskom vegetacijom te nije vizualno izložena (vidljivo isključivo s pristupne prometnice koja prolazi uz odlagalište - nerazvrstana lokalna prometnica) krajobrazno uređenje odlagališta obuhvaća isključivo hidrosjetvu (travna smjesa u koji se dodaje sjeme autohtonih biljnih vrsta). Kako bi se uspostavio zadovoljavajući travnati pokrivač nakon sijanja preporuka je redovito održavati prostore obuhvaćene krajobraznim uređenjem (prvenstveno kositi).</w:t>
      </w:r>
    </w:p>
    <w:p w14:paraId="294CD125" w14:textId="77777777" w:rsidR="0037516C" w:rsidRDefault="0037516C" w:rsidP="00E55757">
      <w:pPr>
        <w:rPr>
          <w:b/>
          <w:sz w:val="24"/>
          <w:szCs w:val="28"/>
        </w:rPr>
      </w:pPr>
      <w:bookmarkStart w:id="0" w:name="_Ref28611055"/>
    </w:p>
    <w:p w14:paraId="238076CD" w14:textId="51724EFB" w:rsidR="00455CA1" w:rsidRPr="00E55757" w:rsidRDefault="00455CA1" w:rsidP="00E55757">
      <w:pPr>
        <w:rPr>
          <w:b/>
          <w:sz w:val="24"/>
          <w:szCs w:val="28"/>
        </w:rPr>
      </w:pPr>
      <w:r w:rsidRPr="00E55757">
        <w:rPr>
          <w:b/>
          <w:sz w:val="24"/>
          <w:szCs w:val="28"/>
        </w:rPr>
        <w:t>Opseg usluge</w:t>
      </w:r>
      <w:bookmarkEnd w:id="0"/>
    </w:p>
    <w:p w14:paraId="125A65C0" w14:textId="664B74CB" w:rsidR="00455CA1" w:rsidRDefault="00455CA1" w:rsidP="00455CA1">
      <w:pPr>
        <w:rPr>
          <w:rFonts w:cs="Tahoma"/>
          <w:szCs w:val="20"/>
        </w:rPr>
      </w:pPr>
      <w:r w:rsidRPr="00935DB8">
        <w:rPr>
          <w:rFonts w:cs="Tahoma"/>
          <w:szCs w:val="20"/>
        </w:rPr>
        <w:t>Opseg usluge obuhvaća</w:t>
      </w:r>
      <w:r w:rsidRPr="003425A7">
        <w:rPr>
          <w:rFonts w:cs="Tahoma"/>
          <w:szCs w:val="20"/>
        </w:rPr>
        <w:t xml:space="preserve"> upravljanj</w:t>
      </w:r>
      <w:r>
        <w:rPr>
          <w:rFonts w:cs="Tahoma"/>
          <w:szCs w:val="20"/>
        </w:rPr>
        <w:t>e</w:t>
      </w:r>
      <w:r w:rsidRPr="003425A7">
        <w:rPr>
          <w:rFonts w:cs="Tahoma"/>
          <w:szCs w:val="20"/>
        </w:rPr>
        <w:t xml:space="preserve"> projektom</w:t>
      </w:r>
      <w:r w:rsidR="00D46603">
        <w:rPr>
          <w:rFonts w:cs="Tahoma"/>
          <w:szCs w:val="20"/>
        </w:rPr>
        <w:t xml:space="preserve"> i</w:t>
      </w:r>
      <w:r w:rsidRPr="003425A7">
        <w:rPr>
          <w:rFonts w:cs="Tahoma"/>
          <w:szCs w:val="20"/>
        </w:rPr>
        <w:t xml:space="preserve"> tehničk</w:t>
      </w:r>
      <w:r>
        <w:rPr>
          <w:rFonts w:cs="Tahoma"/>
          <w:szCs w:val="20"/>
        </w:rPr>
        <w:t>u</w:t>
      </w:r>
      <w:r w:rsidRPr="003425A7">
        <w:rPr>
          <w:rFonts w:cs="Tahoma"/>
          <w:szCs w:val="20"/>
        </w:rPr>
        <w:t xml:space="preserve"> pomoć tijekom provedbe projekta sanacije </w:t>
      </w:r>
      <w:r w:rsidR="009223C0">
        <w:rPr>
          <w:rFonts w:cs="Tahoma"/>
          <w:szCs w:val="20"/>
        </w:rPr>
        <w:t>odlagališta neopasnog otpada</w:t>
      </w:r>
      <w:r w:rsidRPr="003425A7">
        <w:rPr>
          <w:rFonts w:cs="Tahoma"/>
          <w:szCs w:val="20"/>
        </w:rPr>
        <w:t xml:space="preserve"> </w:t>
      </w:r>
      <w:r w:rsidR="00D46603">
        <w:rPr>
          <w:rFonts w:cs="Tahoma"/>
          <w:szCs w:val="20"/>
        </w:rPr>
        <w:t>„Mos</w:t>
      </w:r>
      <w:r w:rsidR="0037516C">
        <w:rPr>
          <w:rFonts w:cs="Tahoma"/>
          <w:szCs w:val="20"/>
        </w:rPr>
        <w:t>e</w:t>
      </w:r>
      <w:r w:rsidR="00D46603">
        <w:rPr>
          <w:rFonts w:cs="Tahoma"/>
          <w:szCs w:val="20"/>
        </w:rPr>
        <w:t>ć“ u Gradu Drnišu</w:t>
      </w:r>
      <w:r>
        <w:rPr>
          <w:rFonts w:cs="Tahoma"/>
          <w:szCs w:val="20"/>
        </w:rPr>
        <w:t>, a definiran je kroz dvije osnovne aktivnosti:</w:t>
      </w:r>
    </w:p>
    <w:p w14:paraId="30FE30F8" w14:textId="39886DE1" w:rsidR="00455CA1" w:rsidRDefault="00455CA1" w:rsidP="00313F39">
      <w:pPr>
        <w:pStyle w:val="Odlomakpopisa"/>
        <w:numPr>
          <w:ilvl w:val="0"/>
          <w:numId w:val="6"/>
        </w:numPr>
        <w:spacing w:before="0"/>
        <w:rPr>
          <w:rFonts w:cs="Tahoma"/>
          <w:szCs w:val="20"/>
        </w:rPr>
      </w:pPr>
      <w:r w:rsidRPr="000D290C">
        <w:rPr>
          <w:rFonts w:cs="Tahoma"/>
          <w:szCs w:val="20"/>
        </w:rPr>
        <w:t xml:space="preserve">Usluga </w:t>
      </w:r>
      <w:r w:rsidR="0037516C">
        <w:rPr>
          <w:rFonts w:cs="Tahoma"/>
          <w:szCs w:val="20"/>
        </w:rPr>
        <w:t>upravljanja projektom</w:t>
      </w:r>
    </w:p>
    <w:p w14:paraId="22A9791B" w14:textId="281D0F77" w:rsidR="00455CA1" w:rsidRPr="000D290C" w:rsidRDefault="00455CA1" w:rsidP="00313F39">
      <w:pPr>
        <w:pStyle w:val="Odlomakpopisa"/>
        <w:numPr>
          <w:ilvl w:val="0"/>
          <w:numId w:val="6"/>
        </w:numPr>
        <w:spacing w:before="0"/>
        <w:rPr>
          <w:rFonts w:cs="Tahoma"/>
          <w:szCs w:val="20"/>
        </w:rPr>
      </w:pPr>
      <w:r w:rsidRPr="000D290C">
        <w:rPr>
          <w:rFonts w:cs="Tahoma"/>
          <w:szCs w:val="20"/>
        </w:rPr>
        <w:t xml:space="preserve">Usluga </w:t>
      </w:r>
      <w:r w:rsidR="00D46603">
        <w:rPr>
          <w:rFonts w:cs="Tahoma"/>
          <w:szCs w:val="20"/>
        </w:rPr>
        <w:t>tehničke pomoći tijekom provedbe projekta</w:t>
      </w:r>
    </w:p>
    <w:p w14:paraId="5A97C092" w14:textId="5D1DF068" w:rsidR="00455CA1" w:rsidRDefault="00455CA1" w:rsidP="00455CA1">
      <w:pPr>
        <w:rPr>
          <w:rFonts w:cs="Tahoma"/>
          <w:szCs w:val="20"/>
        </w:rPr>
      </w:pPr>
      <w:r w:rsidRPr="00935DB8">
        <w:rPr>
          <w:rFonts w:cs="Tahoma"/>
          <w:szCs w:val="20"/>
        </w:rPr>
        <w:t xml:space="preserve">Izvršitelj će usko surađivati s Naručiteljem i pružati mu podršku u svim njegovim obvezama sukladno Ugovoru o </w:t>
      </w:r>
      <w:r w:rsidR="00D46603">
        <w:rPr>
          <w:rFonts w:cs="Tahoma"/>
          <w:szCs w:val="20"/>
        </w:rPr>
        <w:t xml:space="preserve">dodjeli </w:t>
      </w:r>
      <w:r w:rsidRPr="00935DB8">
        <w:rPr>
          <w:rFonts w:cs="Tahoma"/>
          <w:szCs w:val="20"/>
        </w:rPr>
        <w:t>bespovratni</w:t>
      </w:r>
      <w:r w:rsidR="00D46603">
        <w:rPr>
          <w:rFonts w:cs="Tahoma"/>
          <w:szCs w:val="20"/>
        </w:rPr>
        <w:t>h</w:t>
      </w:r>
      <w:r w:rsidRPr="00935DB8">
        <w:rPr>
          <w:rFonts w:cs="Tahoma"/>
          <w:szCs w:val="20"/>
        </w:rPr>
        <w:t xml:space="preserve"> sredst</w:t>
      </w:r>
      <w:r w:rsidR="00D46603">
        <w:rPr>
          <w:rFonts w:cs="Tahoma"/>
          <w:szCs w:val="20"/>
        </w:rPr>
        <w:t xml:space="preserve">ava </w:t>
      </w:r>
      <w:r w:rsidRPr="00935DB8">
        <w:rPr>
          <w:rFonts w:cs="Tahoma"/>
          <w:szCs w:val="20"/>
        </w:rPr>
        <w:t>i komunikaciji s Posredničkim tijel</w:t>
      </w:r>
      <w:r>
        <w:rPr>
          <w:rFonts w:cs="Tahoma"/>
          <w:szCs w:val="20"/>
        </w:rPr>
        <w:t>ima</w:t>
      </w:r>
      <w:r w:rsidRPr="00935DB8">
        <w:rPr>
          <w:rFonts w:cs="Tahoma"/>
          <w:szCs w:val="20"/>
        </w:rPr>
        <w:t xml:space="preserve"> razine 1 i 2 kao i svim dionicima u projektu te ga obavještavati o svim pitanjima koja se odnose na status Projekta, a posebno u slučaju problema s mogućim implikacijama na troškove ili napredovanje projekta.</w:t>
      </w:r>
    </w:p>
    <w:p w14:paraId="0AC390FC" w14:textId="7CF7B7BD" w:rsidR="00455CA1" w:rsidRDefault="00455CA1" w:rsidP="00455CA1">
      <w:pPr>
        <w:rPr>
          <w:rFonts w:cs="Tahoma"/>
          <w:szCs w:val="20"/>
        </w:rPr>
      </w:pPr>
      <w:r>
        <w:rPr>
          <w:rFonts w:cs="Tahoma"/>
          <w:szCs w:val="20"/>
        </w:rPr>
        <w:t xml:space="preserve">Projekt sanacije </w:t>
      </w:r>
      <w:r w:rsidR="009223C0">
        <w:rPr>
          <w:rFonts w:cs="Tahoma"/>
          <w:szCs w:val="20"/>
        </w:rPr>
        <w:t>odlagališta neopasnog otpada</w:t>
      </w:r>
      <w:r w:rsidR="00D46603">
        <w:rPr>
          <w:rFonts w:cs="Tahoma"/>
          <w:szCs w:val="20"/>
        </w:rPr>
        <w:t xml:space="preserve"> „Moseć“ u Gradu Drnišu </w:t>
      </w:r>
      <w:r>
        <w:rPr>
          <w:rFonts w:cs="Tahoma"/>
          <w:szCs w:val="20"/>
        </w:rPr>
        <w:t>provodit će se kroz sljedeće Ugovore:</w:t>
      </w:r>
    </w:p>
    <w:p w14:paraId="76CC8E7A" w14:textId="2C41B866" w:rsidR="0037516C" w:rsidRDefault="0037516C" w:rsidP="00313F39">
      <w:pPr>
        <w:pStyle w:val="Odlomakpopisa"/>
        <w:numPr>
          <w:ilvl w:val="0"/>
          <w:numId w:val="1"/>
        </w:numPr>
        <w:spacing w:before="0"/>
        <w:rPr>
          <w:rFonts w:cs="Tahoma"/>
          <w:i/>
          <w:szCs w:val="20"/>
        </w:rPr>
      </w:pPr>
      <w:r>
        <w:rPr>
          <w:rFonts w:cs="Tahoma"/>
          <w:i/>
          <w:szCs w:val="20"/>
        </w:rPr>
        <w:t>Ugovor za uslugu upravljanja projektom i tehničke pomoći tijekom provedbe projekta (ovaj ugovor)</w:t>
      </w:r>
    </w:p>
    <w:p w14:paraId="0B9DD543" w14:textId="60CEC0F0" w:rsidR="00455CA1" w:rsidRPr="00A3701D" w:rsidRDefault="00455CA1" w:rsidP="00313F39">
      <w:pPr>
        <w:pStyle w:val="Odlomakpopisa"/>
        <w:numPr>
          <w:ilvl w:val="0"/>
          <w:numId w:val="1"/>
        </w:numPr>
        <w:spacing w:before="0"/>
        <w:rPr>
          <w:rFonts w:cs="Tahoma"/>
          <w:i/>
          <w:szCs w:val="20"/>
        </w:rPr>
      </w:pPr>
      <w:r w:rsidRPr="00A3701D">
        <w:rPr>
          <w:rFonts w:cs="Tahoma"/>
          <w:i/>
          <w:szCs w:val="20"/>
        </w:rPr>
        <w:t>Ugovor za izvođenje radova</w:t>
      </w:r>
    </w:p>
    <w:p w14:paraId="410B2A48" w14:textId="77777777" w:rsidR="00455CA1" w:rsidRPr="00A3701D" w:rsidRDefault="00455CA1" w:rsidP="00313F39">
      <w:pPr>
        <w:pStyle w:val="Odlomakpopisa"/>
        <w:numPr>
          <w:ilvl w:val="0"/>
          <w:numId w:val="1"/>
        </w:numPr>
        <w:spacing w:before="0"/>
        <w:rPr>
          <w:rFonts w:cs="Tahoma"/>
          <w:i/>
          <w:szCs w:val="20"/>
        </w:rPr>
      </w:pPr>
      <w:r w:rsidRPr="00A3701D">
        <w:rPr>
          <w:rFonts w:cs="Tahoma"/>
          <w:i/>
          <w:szCs w:val="20"/>
        </w:rPr>
        <w:t xml:space="preserve">Ugovor za uslugu stručnog nadzora građenja i koordinatora zaštite na radu tijekom izvođenja radova </w:t>
      </w:r>
    </w:p>
    <w:p w14:paraId="6461D5CF" w14:textId="632BDEEB" w:rsidR="00455CA1" w:rsidRDefault="00455CA1" w:rsidP="00313F39">
      <w:pPr>
        <w:pStyle w:val="Odlomakpopisa"/>
        <w:numPr>
          <w:ilvl w:val="0"/>
          <w:numId w:val="1"/>
        </w:numPr>
        <w:spacing w:before="0"/>
        <w:rPr>
          <w:rFonts w:cs="Tahoma"/>
          <w:i/>
          <w:szCs w:val="20"/>
        </w:rPr>
      </w:pPr>
      <w:r w:rsidRPr="00A3701D">
        <w:rPr>
          <w:rFonts w:cs="Tahoma"/>
          <w:i/>
          <w:szCs w:val="20"/>
        </w:rPr>
        <w:t>Ugovor za uslugu projektantskog nadzora</w:t>
      </w:r>
    </w:p>
    <w:p w14:paraId="2513DABA" w14:textId="40EB287D" w:rsidR="00F67321" w:rsidRPr="00A3701D" w:rsidRDefault="00F67321" w:rsidP="00313F39">
      <w:pPr>
        <w:pStyle w:val="Odlomakpopisa"/>
        <w:numPr>
          <w:ilvl w:val="0"/>
          <w:numId w:val="1"/>
        </w:numPr>
        <w:spacing w:before="0"/>
        <w:rPr>
          <w:rFonts w:cs="Tahoma"/>
          <w:i/>
          <w:szCs w:val="20"/>
        </w:rPr>
      </w:pPr>
      <w:r>
        <w:rPr>
          <w:rFonts w:cs="Tahoma"/>
          <w:i/>
          <w:szCs w:val="20"/>
        </w:rPr>
        <w:t>Ugovor za uslugu promidžbe i vidljivosti projekta</w:t>
      </w:r>
    </w:p>
    <w:p w14:paraId="1854553F" w14:textId="77777777" w:rsidR="00455CA1" w:rsidRDefault="00455CA1" w:rsidP="00455CA1">
      <w:pPr>
        <w:pStyle w:val="Odlomakpopisa"/>
        <w:rPr>
          <w:rFonts w:cs="Tahoma"/>
          <w:szCs w:val="20"/>
        </w:rPr>
      </w:pPr>
    </w:p>
    <w:p w14:paraId="76570CB4" w14:textId="6C818EDF" w:rsidR="00455CA1" w:rsidRDefault="00D46603" w:rsidP="00D46603">
      <w:pPr>
        <w:ind w:left="357" w:hanging="357"/>
        <w:rPr>
          <w:rFonts w:cs="Tahoma"/>
          <w:b/>
          <w:bCs/>
          <w:szCs w:val="20"/>
        </w:rPr>
      </w:pPr>
      <w:r w:rsidRPr="00D46603">
        <w:rPr>
          <w:rFonts w:cs="Tahoma"/>
          <w:b/>
          <w:bCs/>
          <w:szCs w:val="20"/>
        </w:rPr>
        <w:t xml:space="preserve">A. </w:t>
      </w:r>
      <w:r w:rsidRPr="00D46603">
        <w:rPr>
          <w:rFonts w:cs="Tahoma"/>
          <w:b/>
          <w:bCs/>
          <w:szCs w:val="20"/>
        </w:rPr>
        <w:tab/>
      </w:r>
      <w:r w:rsidR="00455CA1" w:rsidRPr="00D46603">
        <w:rPr>
          <w:rFonts w:cs="Tahoma"/>
          <w:b/>
          <w:bCs/>
          <w:szCs w:val="20"/>
        </w:rPr>
        <w:t xml:space="preserve">Usluga </w:t>
      </w:r>
      <w:r w:rsidR="0037516C">
        <w:rPr>
          <w:rFonts w:cs="Tahoma"/>
          <w:b/>
          <w:bCs/>
          <w:szCs w:val="20"/>
        </w:rPr>
        <w:t>upravljanja projektom</w:t>
      </w:r>
    </w:p>
    <w:p w14:paraId="0774F52F" w14:textId="7189E348" w:rsidR="00455CA1" w:rsidRPr="00D46603" w:rsidRDefault="00D46603" w:rsidP="00D46603">
      <w:pPr>
        <w:spacing w:before="0" w:line="276" w:lineRule="auto"/>
        <w:rPr>
          <w:rFonts w:cs="Tahoma"/>
          <w:szCs w:val="20"/>
        </w:rPr>
      </w:pPr>
      <w:r>
        <w:rPr>
          <w:rFonts w:cs="Tahoma"/>
          <w:szCs w:val="20"/>
        </w:rPr>
        <w:t>P</w:t>
      </w:r>
      <w:r w:rsidRPr="00D46603">
        <w:rPr>
          <w:rFonts w:cs="Tahoma"/>
          <w:szCs w:val="20"/>
        </w:rPr>
        <w:t xml:space="preserve">rojekt zbog svoje investicijske vrijednosti potpada pod obavezu imenovanja </w:t>
      </w:r>
      <w:r>
        <w:rPr>
          <w:rFonts w:cs="Tahoma"/>
          <w:szCs w:val="20"/>
        </w:rPr>
        <w:t>V</w:t>
      </w:r>
      <w:r w:rsidRPr="00D46603">
        <w:rPr>
          <w:rFonts w:cs="Tahoma"/>
          <w:szCs w:val="20"/>
        </w:rPr>
        <w:t xml:space="preserve">oditelja projekta od strane </w:t>
      </w:r>
      <w:r>
        <w:rPr>
          <w:rFonts w:cs="Tahoma"/>
          <w:szCs w:val="20"/>
        </w:rPr>
        <w:t>N</w:t>
      </w:r>
      <w:r w:rsidRPr="00D46603">
        <w:rPr>
          <w:rFonts w:cs="Tahoma"/>
          <w:szCs w:val="20"/>
        </w:rPr>
        <w:t>aručitelja</w:t>
      </w:r>
      <w:r>
        <w:rPr>
          <w:rFonts w:cs="Tahoma"/>
          <w:szCs w:val="20"/>
        </w:rPr>
        <w:t xml:space="preserve">, a sukladno </w:t>
      </w:r>
      <w:r w:rsidR="00455CA1" w:rsidRPr="00D46603">
        <w:rPr>
          <w:rFonts w:cs="Tahoma"/>
          <w:szCs w:val="20"/>
        </w:rPr>
        <w:t>odredbama Zakona o poslovima i djelatnostima prostornog uređenja i gradnje (NN 78/15, 118/18).</w:t>
      </w:r>
    </w:p>
    <w:p w14:paraId="2CEEB24A" w14:textId="0D9ADC1E" w:rsidR="00455CA1" w:rsidRPr="00D46603" w:rsidRDefault="00455CA1" w:rsidP="00D46603">
      <w:pPr>
        <w:spacing w:before="0" w:line="276" w:lineRule="auto"/>
        <w:rPr>
          <w:rFonts w:cs="Tahoma"/>
          <w:szCs w:val="20"/>
        </w:rPr>
      </w:pPr>
      <w:r w:rsidRPr="00D46603">
        <w:rPr>
          <w:rFonts w:cs="Tahoma"/>
        </w:rPr>
        <w:t xml:space="preserve">Naručitelj će imenovati </w:t>
      </w:r>
      <w:r w:rsidR="00D46603" w:rsidRPr="00D46603">
        <w:rPr>
          <w:rFonts w:cs="Tahoma"/>
        </w:rPr>
        <w:t xml:space="preserve">Voditelja </w:t>
      </w:r>
      <w:r w:rsidRPr="00D46603">
        <w:rPr>
          <w:rFonts w:cs="Tahoma"/>
        </w:rPr>
        <w:t>projekta, koji će koordinirati rad članova tima za tehničku pomoć.</w:t>
      </w:r>
    </w:p>
    <w:p w14:paraId="5C3A8CC9" w14:textId="2B6AC5C8" w:rsidR="00455CA1" w:rsidRPr="00D46603" w:rsidRDefault="00455CA1" w:rsidP="00D46603">
      <w:pPr>
        <w:spacing w:before="0" w:line="276" w:lineRule="auto"/>
        <w:rPr>
          <w:rFonts w:cs="Tahoma"/>
          <w:szCs w:val="20"/>
        </w:rPr>
      </w:pPr>
      <w:r w:rsidRPr="00D46603">
        <w:rPr>
          <w:rFonts w:cs="Tahoma"/>
        </w:rPr>
        <w:t xml:space="preserve">Voditelj projekta je fizička osoba imenovana od strane </w:t>
      </w:r>
      <w:r w:rsidR="00D46603">
        <w:rPr>
          <w:rFonts w:cs="Tahoma"/>
        </w:rPr>
        <w:t>N</w:t>
      </w:r>
      <w:r w:rsidRPr="00D46603">
        <w:rPr>
          <w:rFonts w:cs="Tahoma"/>
        </w:rPr>
        <w:t xml:space="preserve">aručitelja u čije ime prati realizaciju Ugovora i obavlja komunikaciju između stručnog nadzora i naručitelja. Zadaci </w:t>
      </w:r>
      <w:r w:rsidR="00D46603" w:rsidRPr="00D46603">
        <w:rPr>
          <w:rFonts w:cs="Tahoma"/>
        </w:rPr>
        <w:t xml:space="preserve">Voditelja </w:t>
      </w:r>
      <w:r w:rsidRPr="00D46603">
        <w:rPr>
          <w:rFonts w:cs="Tahoma"/>
        </w:rPr>
        <w:t>projekta su sljedeći:</w:t>
      </w:r>
    </w:p>
    <w:p w14:paraId="4D37D4EF" w14:textId="77777777" w:rsidR="00455CA1" w:rsidRPr="00D46603" w:rsidRDefault="00455CA1" w:rsidP="00D46603">
      <w:pPr>
        <w:pStyle w:val="Odlomakpopisa"/>
        <w:numPr>
          <w:ilvl w:val="0"/>
          <w:numId w:val="16"/>
        </w:numPr>
        <w:spacing w:before="0" w:line="276" w:lineRule="auto"/>
        <w:rPr>
          <w:rFonts w:cs="Tahoma"/>
          <w:i/>
          <w:iCs/>
        </w:rPr>
      </w:pPr>
      <w:r w:rsidRPr="00D46603">
        <w:rPr>
          <w:rFonts w:cs="Tahoma"/>
          <w:i/>
          <w:iCs/>
        </w:rPr>
        <w:t xml:space="preserve">Prisustvovanje sastancima </w:t>
      </w:r>
    </w:p>
    <w:p w14:paraId="71F0AD76" w14:textId="77777777" w:rsidR="00455CA1" w:rsidRPr="00D46603" w:rsidRDefault="00455CA1" w:rsidP="00D46603">
      <w:pPr>
        <w:pStyle w:val="Odlomakpopisa"/>
        <w:numPr>
          <w:ilvl w:val="0"/>
          <w:numId w:val="16"/>
        </w:numPr>
        <w:spacing w:before="0" w:line="276" w:lineRule="auto"/>
        <w:rPr>
          <w:rFonts w:cs="Tahoma"/>
          <w:i/>
          <w:iCs/>
        </w:rPr>
      </w:pPr>
      <w:r w:rsidRPr="00D46603">
        <w:rPr>
          <w:rFonts w:cs="Tahoma"/>
          <w:i/>
          <w:iCs/>
        </w:rPr>
        <w:t>Vođenje investicijskih koordinacija (najmanje jednom mjesečno redovito i izvanredno po svakom zahtjevu Naručitelja) i izrada zapisnika s njih</w:t>
      </w:r>
    </w:p>
    <w:p w14:paraId="393B8380" w14:textId="77777777" w:rsidR="00455CA1" w:rsidRPr="00D46603" w:rsidRDefault="00455CA1" w:rsidP="00D46603">
      <w:pPr>
        <w:pStyle w:val="Odlomakpopisa"/>
        <w:numPr>
          <w:ilvl w:val="0"/>
          <w:numId w:val="16"/>
        </w:numPr>
        <w:spacing w:before="0" w:line="276" w:lineRule="auto"/>
        <w:rPr>
          <w:rFonts w:cs="Tahoma"/>
          <w:i/>
          <w:iCs/>
        </w:rPr>
      </w:pPr>
      <w:r w:rsidRPr="00D46603">
        <w:rPr>
          <w:rFonts w:cs="Tahoma"/>
          <w:i/>
          <w:iCs/>
        </w:rPr>
        <w:t xml:space="preserve">Nakon odobrenja plaćanja privremene situacije sa strane stručnog nadzora dužan je izvršiti ovjeru plaćanja te kontrolu podnesene dokumentacije za plaćanje. Ukoliko uvidi pogreške u odobravanju mjesečnih prihvatljivih troškova, potrebno je zahtijevati korekcije tijekom slijedećeg izvršenja plaćanja. </w:t>
      </w:r>
    </w:p>
    <w:p w14:paraId="3B309440" w14:textId="718503B5" w:rsidR="00455CA1" w:rsidRPr="00D46603" w:rsidRDefault="00455CA1" w:rsidP="00D46603">
      <w:pPr>
        <w:spacing w:before="0" w:line="276" w:lineRule="auto"/>
        <w:rPr>
          <w:rFonts w:cs="Tahoma"/>
        </w:rPr>
      </w:pPr>
      <w:r w:rsidRPr="00D46603">
        <w:rPr>
          <w:rFonts w:cs="Tahoma"/>
        </w:rPr>
        <w:lastRenderedPageBreak/>
        <w:t xml:space="preserve">Za sve navedeno, </w:t>
      </w:r>
      <w:r w:rsidR="00D46603">
        <w:rPr>
          <w:rFonts w:cs="Tahoma"/>
        </w:rPr>
        <w:t>V</w:t>
      </w:r>
      <w:r w:rsidRPr="00D46603">
        <w:rPr>
          <w:rFonts w:cs="Tahoma"/>
        </w:rPr>
        <w:t xml:space="preserve">oditelj projekta, ovlašten je od strane </w:t>
      </w:r>
      <w:r w:rsidR="0037516C">
        <w:rPr>
          <w:rFonts w:cs="Tahoma"/>
        </w:rPr>
        <w:t>N</w:t>
      </w:r>
      <w:r w:rsidRPr="00D46603">
        <w:rPr>
          <w:rFonts w:cs="Tahoma"/>
        </w:rPr>
        <w:t xml:space="preserve">aručitelja. Izuzetak predstavljaju zahtjevi za dodatna plaćanja i/ili produljenje rok dovršetka ugovora (potrebne direktne konzultacije s </w:t>
      </w:r>
      <w:r w:rsidR="0037516C">
        <w:rPr>
          <w:rFonts w:cs="Tahoma"/>
        </w:rPr>
        <w:t>N</w:t>
      </w:r>
      <w:r w:rsidRPr="00D46603">
        <w:rPr>
          <w:rFonts w:cs="Tahoma"/>
        </w:rPr>
        <w:t xml:space="preserve">aručiteljem). </w:t>
      </w:r>
    </w:p>
    <w:p w14:paraId="51B4316B" w14:textId="16EC32C3" w:rsidR="00455CA1" w:rsidRPr="00D46603" w:rsidRDefault="00455CA1" w:rsidP="00D46603">
      <w:pPr>
        <w:spacing w:before="0" w:line="276" w:lineRule="auto"/>
        <w:rPr>
          <w:rFonts w:cs="Tahoma"/>
        </w:rPr>
      </w:pPr>
      <w:r w:rsidRPr="00D46603">
        <w:rPr>
          <w:rFonts w:cs="Tahoma"/>
        </w:rPr>
        <w:t>Uz to, opseg usluge upravljanja projektom obuhvaća:</w:t>
      </w:r>
    </w:p>
    <w:p w14:paraId="08D8AB5E" w14:textId="77777777" w:rsidR="00455CA1" w:rsidRPr="00D46603" w:rsidRDefault="00455CA1" w:rsidP="00D46603">
      <w:pPr>
        <w:pStyle w:val="Odlomakpopisa"/>
        <w:numPr>
          <w:ilvl w:val="0"/>
          <w:numId w:val="16"/>
        </w:numPr>
        <w:spacing w:before="0" w:line="276" w:lineRule="auto"/>
        <w:rPr>
          <w:rFonts w:cs="Tahoma"/>
          <w:i/>
          <w:iCs/>
        </w:rPr>
      </w:pPr>
      <w:r w:rsidRPr="00D46603">
        <w:rPr>
          <w:rFonts w:cs="Tahoma"/>
          <w:i/>
          <w:iCs/>
        </w:rPr>
        <w:t xml:space="preserve">Financijsko, pravno i tehničko savjetovanje u vezi s građenjem, uporabom i uklanjanjem građevina; </w:t>
      </w:r>
    </w:p>
    <w:p w14:paraId="7B32F249" w14:textId="77777777" w:rsidR="00455CA1" w:rsidRPr="00D46603" w:rsidRDefault="00455CA1" w:rsidP="00D46603">
      <w:pPr>
        <w:pStyle w:val="Odlomakpopisa"/>
        <w:numPr>
          <w:ilvl w:val="0"/>
          <w:numId w:val="16"/>
        </w:numPr>
        <w:spacing w:before="0" w:line="276" w:lineRule="auto"/>
        <w:rPr>
          <w:rFonts w:cs="Tahoma"/>
          <w:i/>
          <w:iCs/>
        </w:rPr>
      </w:pPr>
      <w:r w:rsidRPr="00D46603">
        <w:rPr>
          <w:rFonts w:cs="Tahoma"/>
          <w:i/>
          <w:iCs/>
        </w:rPr>
        <w:t>Financijsku, pravnu i tehničku pripremu i planiranje poslova u vezi s gradnjom te praćenje provođenja tog plana;</w:t>
      </w:r>
    </w:p>
    <w:p w14:paraId="6C85E31D" w14:textId="77777777" w:rsidR="00455CA1" w:rsidRPr="00D46603" w:rsidRDefault="00455CA1" w:rsidP="00D46603">
      <w:pPr>
        <w:pStyle w:val="Odlomakpopisa"/>
        <w:numPr>
          <w:ilvl w:val="0"/>
          <w:numId w:val="16"/>
        </w:numPr>
        <w:spacing w:before="0" w:line="276" w:lineRule="auto"/>
        <w:rPr>
          <w:rFonts w:cs="Tahoma"/>
          <w:i/>
          <w:iCs/>
        </w:rPr>
      </w:pPr>
      <w:r w:rsidRPr="00D46603">
        <w:rPr>
          <w:rFonts w:cs="Tahoma"/>
          <w:i/>
          <w:iCs/>
        </w:rPr>
        <w:t>Koordinaciju i zastupanje interesa naručitelja kod svih dionika u procesu izgradnje i ishođenja dozvola (izvođač, nadzorni inženjer, projektant i projektantski nadzor, nadležna javno-pravna tijela), u cilju uspješne realizacije projekta;</w:t>
      </w:r>
    </w:p>
    <w:p w14:paraId="6766AE78" w14:textId="77777777" w:rsidR="00455CA1" w:rsidRPr="00D46603" w:rsidRDefault="00455CA1" w:rsidP="00D46603">
      <w:pPr>
        <w:pStyle w:val="Odlomakpopisa"/>
        <w:numPr>
          <w:ilvl w:val="0"/>
          <w:numId w:val="16"/>
        </w:numPr>
        <w:spacing w:before="0" w:line="276" w:lineRule="auto"/>
        <w:rPr>
          <w:rFonts w:cs="Tahoma"/>
          <w:i/>
          <w:iCs/>
        </w:rPr>
      </w:pPr>
      <w:r w:rsidRPr="00D46603">
        <w:rPr>
          <w:rFonts w:cs="Tahoma"/>
          <w:i/>
          <w:iCs/>
        </w:rPr>
        <w:t>Savjetovanje naručitelja oko ugovornih obaveza angažiranih stručnih dionika: izvođača, nadzornog inženjera i projektantskog nadzora;</w:t>
      </w:r>
    </w:p>
    <w:p w14:paraId="694010D3" w14:textId="77777777" w:rsidR="00455CA1" w:rsidRPr="00D46603" w:rsidRDefault="00455CA1" w:rsidP="00D46603">
      <w:pPr>
        <w:pStyle w:val="Odlomakpopisa"/>
        <w:numPr>
          <w:ilvl w:val="0"/>
          <w:numId w:val="16"/>
        </w:numPr>
        <w:spacing w:before="0" w:line="276" w:lineRule="auto"/>
        <w:rPr>
          <w:rFonts w:cs="Tahoma"/>
          <w:i/>
          <w:iCs/>
        </w:rPr>
      </w:pPr>
      <w:r w:rsidRPr="00D46603">
        <w:rPr>
          <w:rFonts w:cs="Tahoma"/>
          <w:i/>
          <w:iCs/>
        </w:rPr>
        <w:t>Vođenje komunikacije s predstavnicima PT2;</w:t>
      </w:r>
    </w:p>
    <w:p w14:paraId="782D4227" w14:textId="77777777" w:rsidR="00455CA1" w:rsidRPr="00D46603" w:rsidRDefault="00455CA1" w:rsidP="00D46603">
      <w:pPr>
        <w:pStyle w:val="Odlomakpopisa"/>
        <w:numPr>
          <w:ilvl w:val="0"/>
          <w:numId w:val="16"/>
        </w:numPr>
        <w:spacing w:before="0" w:line="276" w:lineRule="auto"/>
        <w:rPr>
          <w:rFonts w:cs="Tahoma"/>
          <w:i/>
          <w:iCs/>
        </w:rPr>
      </w:pPr>
      <w:r w:rsidRPr="00D46603">
        <w:rPr>
          <w:rFonts w:cs="Tahoma"/>
          <w:i/>
          <w:iCs/>
        </w:rPr>
        <w:t>Provjeru obračunskih faktura, izvještaja nadzornog inženjera i sve ostale dokumentacije koja je predmet odobrenja od strane Investitora;</w:t>
      </w:r>
    </w:p>
    <w:p w14:paraId="7B4FBB5D" w14:textId="77777777" w:rsidR="00455CA1" w:rsidRPr="00D46603" w:rsidRDefault="00455CA1" w:rsidP="00D46603">
      <w:pPr>
        <w:pStyle w:val="Odlomakpopisa"/>
        <w:numPr>
          <w:ilvl w:val="0"/>
          <w:numId w:val="16"/>
        </w:numPr>
        <w:spacing w:before="0" w:line="276" w:lineRule="auto"/>
        <w:rPr>
          <w:rFonts w:cs="Tahoma"/>
          <w:i/>
          <w:iCs/>
        </w:rPr>
      </w:pPr>
      <w:r w:rsidRPr="00D46603">
        <w:rPr>
          <w:rFonts w:cs="Tahoma"/>
          <w:i/>
          <w:iCs/>
        </w:rPr>
        <w:t>Pripremu odgovora u ime naručitelja na sve stručne upite vezane uz predmet zahvata, osobito upite vezane uz tehničku i zakonodavno-regulatornu problematiku;</w:t>
      </w:r>
    </w:p>
    <w:p w14:paraId="3CD3DFE3" w14:textId="77777777" w:rsidR="00455CA1" w:rsidRPr="00D46603" w:rsidRDefault="00455CA1" w:rsidP="00D46603">
      <w:pPr>
        <w:pStyle w:val="Odlomakpopisa"/>
        <w:numPr>
          <w:ilvl w:val="0"/>
          <w:numId w:val="16"/>
        </w:numPr>
        <w:spacing w:before="0" w:line="276" w:lineRule="auto"/>
        <w:rPr>
          <w:rFonts w:cs="Tahoma"/>
          <w:i/>
          <w:iCs/>
        </w:rPr>
      </w:pPr>
      <w:r w:rsidRPr="00D46603">
        <w:rPr>
          <w:rFonts w:cs="Tahoma"/>
          <w:i/>
          <w:iCs/>
        </w:rPr>
        <w:t>Pribavljanje svih dokumenata te pomoć oko obavljanja radnji koje je naručitelj dužan obavljati tijekom građenja građevine;</w:t>
      </w:r>
    </w:p>
    <w:p w14:paraId="2740E01B" w14:textId="77777777" w:rsidR="00455CA1" w:rsidRPr="00D46603" w:rsidRDefault="00455CA1" w:rsidP="00D46603">
      <w:pPr>
        <w:pStyle w:val="Odlomakpopisa"/>
        <w:numPr>
          <w:ilvl w:val="0"/>
          <w:numId w:val="16"/>
        </w:numPr>
        <w:spacing w:before="0" w:line="276" w:lineRule="auto"/>
        <w:rPr>
          <w:rFonts w:cs="Tahoma"/>
          <w:i/>
          <w:iCs/>
        </w:rPr>
      </w:pPr>
      <w:r w:rsidRPr="00D46603">
        <w:rPr>
          <w:rFonts w:cs="Tahoma"/>
          <w:i/>
          <w:iCs/>
        </w:rPr>
        <w:t>Pribavljanje svih dokumenata i savjetovanje naručitelja u sklapanju svih pravnih poslova potrebnih za izdavanje akata za uporabu (uključujući provođenje tehničkog pregleda) i pomoć prilikom pribavljanja tih akata;</w:t>
      </w:r>
    </w:p>
    <w:p w14:paraId="7EE24113" w14:textId="77777777" w:rsidR="00455CA1" w:rsidRPr="00D46603" w:rsidRDefault="00455CA1" w:rsidP="00D46603">
      <w:pPr>
        <w:pStyle w:val="Odlomakpopisa"/>
        <w:numPr>
          <w:ilvl w:val="0"/>
          <w:numId w:val="16"/>
        </w:numPr>
        <w:spacing w:before="0" w:line="276" w:lineRule="auto"/>
        <w:rPr>
          <w:rFonts w:cs="Tahoma"/>
          <w:i/>
          <w:iCs/>
        </w:rPr>
      </w:pPr>
      <w:r w:rsidRPr="00D46603">
        <w:rPr>
          <w:rFonts w:cs="Tahoma"/>
          <w:i/>
          <w:iCs/>
        </w:rPr>
        <w:t>Definiranje komunikacijske matrice i načina zaprimanja i arhiviranja dokumentacije tijekom realizacije projekta, te upravljanje tim sustavom tijekom provedbe Projekta.</w:t>
      </w:r>
    </w:p>
    <w:p w14:paraId="48E76ADD" w14:textId="5EC48850" w:rsidR="00455CA1" w:rsidRPr="00D46603" w:rsidRDefault="00455CA1" w:rsidP="00D46603">
      <w:pPr>
        <w:spacing w:before="0" w:line="276" w:lineRule="auto"/>
        <w:rPr>
          <w:rFonts w:cs="Tahoma"/>
          <w:szCs w:val="20"/>
        </w:rPr>
      </w:pPr>
      <w:r w:rsidRPr="00D46603">
        <w:rPr>
          <w:rFonts w:cs="Tahoma"/>
          <w:szCs w:val="20"/>
        </w:rPr>
        <w:t xml:space="preserve">Primarno mjesto obavljanja usluga je ured </w:t>
      </w:r>
      <w:r w:rsidR="00D46603" w:rsidRPr="00D46603">
        <w:rPr>
          <w:rFonts w:cs="Tahoma"/>
          <w:szCs w:val="20"/>
        </w:rPr>
        <w:t>I</w:t>
      </w:r>
      <w:r w:rsidRPr="00D46603">
        <w:rPr>
          <w:rFonts w:cs="Tahoma"/>
          <w:szCs w:val="20"/>
        </w:rPr>
        <w:t xml:space="preserve">zvršitelja (primarna komunikacija putem e-maila i telefona), a </w:t>
      </w:r>
      <w:r w:rsidRPr="00D46603">
        <w:rPr>
          <w:rFonts w:cs="Tahoma"/>
          <w:b/>
          <w:szCs w:val="20"/>
        </w:rPr>
        <w:t xml:space="preserve">prisustvo </w:t>
      </w:r>
      <w:r w:rsidR="00D46603" w:rsidRPr="00D46603">
        <w:rPr>
          <w:rFonts w:cs="Tahoma"/>
          <w:b/>
          <w:szCs w:val="20"/>
        </w:rPr>
        <w:t>V</w:t>
      </w:r>
      <w:r w:rsidRPr="00D46603">
        <w:rPr>
          <w:rFonts w:cs="Tahoma"/>
          <w:b/>
          <w:szCs w:val="20"/>
        </w:rPr>
        <w:t>oditelja projekta na lokaciji izvođenja radova se predviđa</w:t>
      </w:r>
      <w:r w:rsidRPr="00D46603">
        <w:rPr>
          <w:rFonts w:cs="Tahoma"/>
          <w:szCs w:val="20"/>
        </w:rPr>
        <w:t xml:space="preserve"> </w:t>
      </w:r>
      <w:r w:rsidRPr="00D46603">
        <w:rPr>
          <w:rFonts w:cs="Tahoma"/>
          <w:b/>
          <w:szCs w:val="20"/>
        </w:rPr>
        <w:t>u sklopu unaprijed dogovorenih investicijskih sastanaka</w:t>
      </w:r>
      <w:r w:rsidRPr="00D46603">
        <w:rPr>
          <w:rFonts w:cs="Tahoma"/>
          <w:szCs w:val="20"/>
        </w:rPr>
        <w:t>, ili izvanredno po potrebi i u slučaju kada se to zahtjeva od strane Naručitelja odnosno kada to zahtjeva dinamika izvođenja radova kako bi se osiguralo učinkovito provođenje usluge.</w:t>
      </w:r>
    </w:p>
    <w:p w14:paraId="70FB8EF4" w14:textId="505FBAF6" w:rsidR="00455CA1" w:rsidRDefault="00455CA1" w:rsidP="00D46603">
      <w:pPr>
        <w:spacing w:before="0" w:line="276" w:lineRule="auto"/>
        <w:rPr>
          <w:rFonts w:cs="Tahoma"/>
        </w:rPr>
      </w:pPr>
      <w:r w:rsidRPr="00D46603">
        <w:rPr>
          <w:rFonts w:cs="Tahoma"/>
        </w:rPr>
        <w:t>Voditelj projekta će usko surađivati s naručiteljem i pružati mu pomoć te ga obavještavati o svim pitanjima koja se odnose na status projekta, a posebno u slučaju problema s mogućim implikacijama na troškove ili napredovanje projekta. Izvršitelj će savjetovati naručitelja, o mogućim mjerama za prevladavanje problema, a sve usmjereno k ispunjavanju ciljeva projekta.</w:t>
      </w:r>
    </w:p>
    <w:p w14:paraId="03943E7F" w14:textId="77777777" w:rsidR="00605255" w:rsidRPr="00D46603" w:rsidRDefault="00605255" w:rsidP="00D46603">
      <w:pPr>
        <w:spacing w:before="0" w:line="276" w:lineRule="auto"/>
        <w:rPr>
          <w:rFonts w:cs="Tahoma"/>
          <w:szCs w:val="20"/>
        </w:rPr>
      </w:pPr>
    </w:p>
    <w:p w14:paraId="3300ABAC" w14:textId="516FDE69" w:rsidR="00D46603" w:rsidRPr="00D46603" w:rsidRDefault="00D46603" w:rsidP="00D46603">
      <w:pPr>
        <w:rPr>
          <w:rFonts w:cs="Tahoma"/>
          <w:b/>
          <w:bCs/>
          <w:szCs w:val="20"/>
        </w:rPr>
      </w:pPr>
      <w:r w:rsidRPr="00D46603">
        <w:rPr>
          <w:rFonts w:cs="Tahoma"/>
          <w:b/>
          <w:bCs/>
          <w:szCs w:val="20"/>
        </w:rPr>
        <w:t xml:space="preserve">B. </w:t>
      </w:r>
      <w:r w:rsidRPr="00D46603">
        <w:rPr>
          <w:rFonts w:cs="Tahoma"/>
          <w:b/>
          <w:bCs/>
          <w:szCs w:val="20"/>
        </w:rPr>
        <w:tab/>
      </w:r>
      <w:r w:rsidR="0037516C">
        <w:rPr>
          <w:rFonts w:cs="Tahoma"/>
          <w:b/>
          <w:bCs/>
          <w:szCs w:val="20"/>
        </w:rPr>
        <w:t>Usluga tehničke pomoći tijekom provedbe projekta</w:t>
      </w:r>
    </w:p>
    <w:p w14:paraId="32C80D9B" w14:textId="323F5BFF" w:rsidR="00455CA1" w:rsidRPr="00D46603" w:rsidRDefault="00D46603" w:rsidP="00D46603">
      <w:pPr>
        <w:spacing w:before="0"/>
        <w:rPr>
          <w:rFonts w:cs="Tahoma"/>
          <w:szCs w:val="20"/>
        </w:rPr>
      </w:pPr>
      <w:r>
        <w:rPr>
          <w:rFonts w:cs="Tahoma"/>
          <w:szCs w:val="20"/>
        </w:rPr>
        <w:t xml:space="preserve">Usluga tehničke pomoći </w:t>
      </w:r>
      <w:r w:rsidR="0037516C">
        <w:rPr>
          <w:rFonts w:cs="Tahoma"/>
          <w:szCs w:val="20"/>
        </w:rPr>
        <w:t xml:space="preserve">tijekom provedbe projekta </w:t>
      </w:r>
      <w:r>
        <w:rPr>
          <w:rFonts w:cs="Tahoma"/>
          <w:szCs w:val="20"/>
        </w:rPr>
        <w:t>uključuje p</w:t>
      </w:r>
      <w:r w:rsidR="00455CA1" w:rsidRPr="00D46603">
        <w:rPr>
          <w:rFonts w:cs="Tahoma"/>
          <w:szCs w:val="20"/>
        </w:rPr>
        <w:t>odršk</w:t>
      </w:r>
      <w:r>
        <w:rPr>
          <w:rFonts w:cs="Tahoma"/>
          <w:szCs w:val="20"/>
        </w:rPr>
        <w:t>u</w:t>
      </w:r>
      <w:r w:rsidR="00455CA1" w:rsidRPr="00D46603">
        <w:rPr>
          <w:rFonts w:cs="Tahoma"/>
          <w:szCs w:val="20"/>
        </w:rPr>
        <w:t xml:space="preserve"> Naručitelju/Korisniku u ispunjenju svih obveza sukladno </w:t>
      </w:r>
      <w:r w:rsidR="0037516C">
        <w:rPr>
          <w:rFonts w:cs="Tahoma"/>
          <w:szCs w:val="20"/>
        </w:rPr>
        <w:t xml:space="preserve">uvjetima </w:t>
      </w:r>
      <w:r w:rsidR="00455CA1" w:rsidRPr="00D46603">
        <w:rPr>
          <w:rFonts w:cs="Tahoma"/>
          <w:szCs w:val="20"/>
        </w:rPr>
        <w:t>Ugovor</w:t>
      </w:r>
      <w:r w:rsidR="0037516C">
        <w:rPr>
          <w:rFonts w:cs="Tahoma"/>
          <w:szCs w:val="20"/>
        </w:rPr>
        <w:t>a</w:t>
      </w:r>
      <w:r w:rsidR="00455CA1" w:rsidRPr="00D46603">
        <w:rPr>
          <w:rFonts w:cs="Tahoma"/>
          <w:szCs w:val="20"/>
        </w:rPr>
        <w:t xml:space="preserve"> o </w:t>
      </w:r>
      <w:r w:rsidR="0037516C">
        <w:rPr>
          <w:rFonts w:cs="Tahoma"/>
          <w:szCs w:val="20"/>
        </w:rPr>
        <w:t>dodjeli bespovratnih sredstava</w:t>
      </w:r>
      <w:r w:rsidR="00455CA1" w:rsidRPr="00D46603">
        <w:rPr>
          <w:rFonts w:cs="Tahoma"/>
          <w:szCs w:val="20"/>
        </w:rPr>
        <w:t>.</w:t>
      </w:r>
    </w:p>
    <w:p w14:paraId="3FBEB6AB" w14:textId="31836610" w:rsidR="00455CA1" w:rsidRPr="00D46603" w:rsidRDefault="00455CA1" w:rsidP="00D46603">
      <w:pPr>
        <w:spacing w:before="0"/>
        <w:rPr>
          <w:rFonts w:cs="Tahoma"/>
          <w:szCs w:val="20"/>
        </w:rPr>
      </w:pPr>
      <w:r w:rsidRPr="00D46603">
        <w:rPr>
          <w:rFonts w:cs="Tahoma"/>
          <w:szCs w:val="20"/>
        </w:rPr>
        <w:t xml:space="preserve">Izvršitelj će pružiti podršku Naručitelju u koordinaciji i pripremi svih dokumenata sukladno obvezama definiranim u Ugovoru o </w:t>
      </w:r>
      <w:r w:rsidR="00D46603">
        <w:rPr>
          <w:rFonts w:cs="Tahoma"/>
          <w:szCs w:val="20"/>
        </w:rPr>
        <w:t>dodjeli bespovratnih sredstava</w:t>
      </w:r>
      <w:r w:rsidR="0037516C">
        <w:rPr>
          <w:rFonts w:cs="Tahoma"/>
          <w:szCs w:val="20"/>
        </w:rPr>
        <w:t>, kako slijedi:</w:t>
      </w:r>
    </w:p>
    <w:p w14:paraId="1272A347" w14:textId="77777777" w:rsidR="00455CA1" w:rsidRPr="00D46603" w:rsidRDefault="00455CA1" w:rsidP="00D46603">
      <w:pPr>
        <w:pStyle w:val="Odlomakpopisa"/>
        <w:numPr>
          <w:ilvl w:val="0"/>
          <w:numId w:val="16"/>
        </w:numPr>
        <w:spacing w:before="0" w:line="276" w:lineRule="auto"/>
        <w:rPr>
          <w:rFonts w:cs="Tahoma"/>
          <w:i/>
          <w:iCs/>
        </w:rPr>
      </w:pPr>
      <w:r w:rsidRPr="00D46603">
        <w:rPr>
          <w:rFonts w:cs="Tahoma"/>
          <w:i/>
          <w:iCs/>
        </w:rPr>
        <w:t>Podršku Naručitelju u pripremi, izradi i pravovremenoj dostavi Izvješća o napretku i Završnog izvješća o provedbi projekta</w:t>
      </w:r>
    </w:p>
    <w:p w14:paraId="52EE9683" w14:textId="77777777" w:rsidR="00455CA1" w:rsidRPr="00D46603" w:rsidRDefault="00455CA1" w:rsidP="00D46603">
      <w:pPr>
        <w:pStyle w:val="Odlomakpopisa"/>
        <w:numPr>
          <w:ilvl w:val="0"/>
          <w:numId w:val="16"/>
        </w:numPr>
        <w:spacing w:before="0" w:line="276" w:lineRule="auto"/>
        <w:rPr>
          <w:rFonts w:cs="Tahoma"/>
          <w:i/>
          <w:iCs/>
        </w:rPr>
      </w:pPr>
      <w:r w:rsidRPr="00D46603">
        <w:rPr>
          <w:rFonts w:cs="Tahoma"/>
          <w:i/>
          <w:iCs/>
        </w:rPr>
        <w:lastRenderedPageBreak/>
        <w:t>Podršku Naručitelju u pripremi, izradi i pravovremenom podnošenju Zahtjeva za nadoknadom sredstava i Završnog zahtjeva za nadoknadom sredstava</w:t>
      </w:r>
    </w:p>
    <w:p w14:paraId="2610F084" w14:textId="77777777" w:rsidR="00455CA1" w:rsidRPr="00D46603" w:rsidRDefault="00455CA1" w:rsidP="00D46603">
      <w:pPr>
        <w:pStyle w:val="Odlomakpopisa"/>
        <w:numPr>
          <w:ilvl w:val="0"/>
          <w:numId w:val="16"/>
        </w:numPr>
        <w:spacing w:before="0" w:line="276" w:lineRule="auto"/>
        <w:rPr>
          <w:rFonts w:cs="Tahoma"/>
          <w:i/>
          <w:iCs/>
        </w:rPr>
      </w:pPr>
      <w:r w:rsidRPr="00D46603">
        <w:rPr>
          <w:rFonts w:cs="Tahoma"/>
          <w:i/>
          <w:iCs/>
        </w:rPr>
        <w:t>Podršku Naručitelju u pripremi ostalih dokumenata po potrebi i u dogovoru s Naručiteljem</w:t>
      </w:r>
    </w:p>
    <w:p w14:paraId="72E7B205" w14:textId="77777777" w:rsidR="00455CA1" w:rsidRPr="00D46603" w:rsidRDefault="00455CA1" w:rsidP="00D46603">
      <w:pPr>
        <w:pStyle w:val="Odlomakpopisa"/>
        <w:numPr>
          <w:ilvl w:val="0"/>
          <w:numId w:val="16"/>
        </w:numPr>
        <w:spacing w:before="0" w:line="276" w:lineRule="auto"/>
        <w:rPr>
          <w:rFonts w:cs="Tahoma"/>
          <w:i/>
          <w:iCs/>
        </w:rPr>
      </w:pPr>
      <w:r w:rsidRPr="00D46603">
        <w:rPr>
          <w:rFonts w:cs="Tahoma"/>
          <w:i/>
          <w:iCs/>
        </w:rPr>
        <w:t>Podršku Naručitelju tijekom revizija i/ili kontrola.</w:t>
      </w:r>
    </w:p>
    <w:p w14:paraId="3DA56141" w14:textId="77777777" w:rsidR="00455CA1" w:rsidRPr="00471F00" w:rsidRDefault="00455CA1" w:rsidP="00455CA1">
      <w:pPr>
        <w:pStyle w:val="Odlomakpopisa"/>
        <w:rPr>
          <w:rFonts w:cs="Tahoma"/>
          <w:szCs w:val="20"/>
        </w:rPr>
      </w:pPr>
    </w:p>
    <w:p w14:paraId="18056393" w14:textId="0D50DF7B" w:rsidR="00427D87" w:rsidRDefault="00F5200B" w:rsidP="00427D87">
      <w:pPr>
        <w:spacing w:before="0"/>
        <w:rPr>
          <w:rFonts w:cs="Tahoma"/>
          <w:szCs w:val="20"/>
        </w:rPr>
      </w:pPr>
      <w:r>
        <w:rPr>
          <w:rFonts w:cs="Tahoma"/>
          <w:szCs w:val="20"/>
        </w:rPr>
        <w:t>Dodatno, u</w:t>
      </w:r>
      <w:r w:rsidR="00427D87">
        <w:rPr>
          <w:rFonts w:cs="Tahoma"/>
          <w:szCs w:val="20"/>
        </w:rPr>
        <w:t xml:space="preserve">sluga Izvršitelja uključuje sljedeće </w:t>
      </w:r>
      <w:r w:rsidR="00427D87" w:rsidRPr="00427D87">
        <w:rPr>
          <w:rFonts w:cs="Tahoma"/>
          <w:b/>
          <w:bCs/>
          <w:szCs w:val="20"/>
        </w:rPr>
        <w:t>specifične zadatke</w:t>
      </w:r>
      <w:r w:rsidR="00427D87">
        <w:rPr>
          <w:rFonts w:cs="Tahoma"/>
          <w:szCs w:val="20"/>
        </w:rPr>
        <w:t>:</w:t>
      </w:r>
    </w:p>
    <w:p w14:paraId="0C90C2C6" w14:textId="1D426ABC" w:rsidR="00455CA1" w:rsidRPr="00427D87" w:rsidRDefault="00455CA1" w:rsidP="00427D87">
      <w:pPr>
        <w:pStyle w:val="Odlomakpopisa"/>
        <w:numPr>
          <w:ilvl w:val="0"/>
          <w:numId w:val="9"/>
        </w:numPr>
        <w:spacing w:before="0"/>
        <w:contextualSpacing w:val="0"/>
        <w:rPr>
          <w:rFonts w:cs="Tahoma"/>
          <w:szCs w:val="20"/>
        </w:rPr>
      </w:pPr>
      <w:r w:rsidRPr="00427D87">
        <w:rPr>
          <w:rFonts w:cs="Tahoma"/>
          <w:szCs w:val="20"/>
        </w:rPr>
        <w:t>Izrada plana provedbe projekta</w:t>
      </w:r>
    </w:p>
    <w:p w14:paraId="288CD656" w14:textId="77777777" w:rsidR="00455CA1" w:rsidRDefault="00455CA1" w:rsidP="00455CA1">
      <w:pPr>
        <w:pStyle w:val="Odlomakpopisa"/>
        <w:rPr>
          <w:rFonts w:cs="Tahoma"/>
          <w:i/>
          <w:szCs w:val="20"/>
        </w:rPr>
      </w:pPr>
      <w:r w:rsidRPr="003066CE">
        <w:rPr>
          <w:rFonts w:cs="Tahoma"/>
          <w:i/>
          <w:szCs w:val="20"/>
        </w:rPr>
        <w:t>Izvršitelj će u svrhu praćenja provedbe projekta izraditi plan provedbe projekta koji će obuhvatiti ključne aktivnosti te planirane rokove i obaveze Izvođača po svim Ugovorima (početak/završetak radova, predaja izvješća, ishođenje dozvola,…). Plan provedbe projekta služit Izvršitelju i Naručitelju za kontrolu obavljenih usluga sukladno Ugovorima te će  se redovito ažurirati tijekom provedbe projekta.</w:t>
      </w:r>
    </w:p>
    <w:p w14:paraId="3E0761C2" w14:textId="77777777" w:rsidR="00455CA1" w:rsidRPr="003066CE" w:rsidRDefault="00455CA1" w:rsidP="00455CA1">
      <w:pPr>
        <w:pStyle w:val="Odlomakpopisa"/>
        <w:rPr>
          <w:rFonts w:cs="Tahoma"/>
          <w:i/>
          <w:szCs w:val="20"/>
        </w:rPr>
      </w:pPr>
    </w:p>
    <w:p w14:paraId="3C3E1203" w14:textId="77777777" w:rsidR="00455CA1" w:rsidRDefault="00455CA1" w:rsidP="00313F39">
      <w:pPr>
        <w:pStyle w:val="Odlomakpopisa"/>
        <w:numPr>
          <w:ilvl w:val="0"/>
          <w:numId w:val="9"/>
        </w:numPr>
        <w:spacing w:before="0"/>
        <w:contextualSpacing w:val="0"/>
        <w:rPr>
          <w:rFonts w:cs="Tahoma"/>
          <w:szCs w:val="20"/>
        </w:rPr>
      </w:pPr>
      <w:r w:rsidRPr="00471F00">
        <w:rPr>
          <w:rFonts w:cs="Tahoma"/>
          <w:szCs w:val="20"/>
        </w:rPr>
        <w:t>Upravljanje rizicima</w:t>
      </w:r>
    </w:p>
    <w:p w14:paraId="3445E252" w14:textId="77777777" w:rsidR="00455CA1" w:rsidRDefault="00455CA1" w:rsidP="00455CA1">
      <w:pPr>
        <w:pStyle w:val="Odlomakpopisa"/>
        <w:contextualSpacing w:val="0"/>
        <w:rPr>
          <w:rFonts w:cs="Tahoma"/>
          <w:i/>
          <w:szCs w:val="20"/>
        </w:rPr>
      </w:pPr>
      <w:r w:rsidRPr="003066CE">
        <w:rPr>
          <w:rFonts w:cs="Tahoma"/>
          <w:i/>
          <w:szCs w:val="20"/>
        </w:rPr>
        <w:t>Izvršitelj će izraditi matricu rizika Projekta odnosno identificirati rizike i ključne izazove koji bi mogli potencijalno mogli utjecati na tijek provedbe projekta, procijeniti vjerojatnost njihove pojave i utjecaja te predložiti mjere smanjenja istih. Cilj upravljanja rizicima je svođenje rizika Projekta na prihvatljivu razinu provođenjem mjera koje bi ublažile vjerojatnost pojavljivanja rizika ili utjecaj realizacije rizika ili oboje u isto vrijeme.</w:t>
      </w:r>
    </w:p>
    <w:p w14:paraId="78082679" w14:textId="77777777" w:rsidR="00455CA1" w:rsidRPr="003066CE" w:rsidRDefault="00455CA1" w:rsidP="00455CA1">
      <w:pPr>
        <w:pStyle w:val="Odlomakpopisa"/>
        <w:rPr>
          <w:rFonts w:cs="Tahoma"/>
          <w:i/>
          <w:szCs w:val="20"/>
        </w:rPr>
      </w:pPr>
    </w:p>
    <w:p w14:paraId="6BB8E31F" w14:textId="77777777" w:rsidR="00455CA1" w:rsidRDefault="00455CA1" w:rsidP="00313F39">
      <w:pPr>
        <w:pStyle w:val="Odlomakpopisa"/>
        <w:numPr>
          <w:ilvl w:val="0"/>
          <w:numId w:val="9"/>
        </w:numPr>
        <w:spacing w:before="0"/>
        <w:contextualSpacing w:val="0"/>
        <w:rPr>
          <w:rFonts w:cs="Tahoma"/>
          <w:szCs w:val="20"/>
        </w:rPr>
      </w:pPr>
      <w:r w:rsidRPr="00471F00">
        <w:rPr>
          <w:rFonts w:cs="Tahoma"/>
          <w:szCs w:val="20"/>
        </w:rPr>
        <w:t>Koordinacija svih ugovora i praćenje ugovornih obveza</w:t>
      </w:r>
    </w:p>
    <w:p w14:paraId="2EEDFD25" w14:textId="77777777" w:rsidR="00455CA1" w:rsidRPr="00471F00" w:rsidRDefault="00455CA1" w:rsidP="00455CA1">
      <w:pPr>
        <w:pStyle w:val="Odlomakpopisa"/>
        <w:rPr>
          <w:rFonts w:cs="Tahoma"/>
          <w:i/>
          <w:szCs w:val="20"/>
        </w:rPr>
      </w:pPr>
      <w:r w:rsidRPr="00471F00">
        <w:rPr>
          <w:rFonts w:cs="Tahoma"/>
          <w:i/>
          <w:szCs w:val="20"/>
        </w:rPr>
        <w:t>Izvršitelj će pružiti podršku Naručitelju u kontroli pridržavanja odredbi po Ugovoru za izvođenje radovima i Ugovoru za uslugu stručnog nadzora i koordinatora zaštite na radu</w:t>
      </w:r>
      <w:r>
        <w:rPr>
          <w:rFonts w:cs="Tahoma"/>
          <w:i/>
          <w:szCs w:val="20"/>
        </w:rPr>
        <w:t>:</w:t>
      </w:r>
    </w:p>
    <w:p w14:paraId="7B154908" w14:textId="77777777" w:rsidR="00455CA1" w:rsidRPr="00471F00" w:rsidRDefault="00455CA1" w:rsidP="00313F39">
      <w:pPr>
        <w:pStyle w:val="Odlomakpopisa"/>
        <w:numPr>
          <w:ilvl w:val="1"/>
          <w:numId w:val="9"/>
        </w:numPr>
        <w:spacing w:before="0"/>
        <w:rPr>
          <w:rFonts w:cs="Tahoma"/>
          <w:i/>
          <w:szCs w:val="20"/>
        </w:rPr>
      </w:pPr>
      <w:r w:rsidRPr="00471F00">
        <w:rPr>
          <w:rFonts w:cs="Tahoma"/>
          <w:i/>
          <w:szCs w:val="20"/>
        </w:rPr>
        <w:t>Kontrolu dostavljenog jamstva za uredno ispunjenje Ugovora;</w:t>
      </w:r>
    </w:p>
    <w:p w14:paraId="7A9FBAE1" w14:textId="77777777" w:rsidR="00455CA1" w:rsidRPr="00471F00" w:rsidRDefault="00455CA1" w:rsidP="00313F39">
      <w:pPr>
        <w:pStyle w:val="Odlomakpopisa"/>
        <w:numPr>
          <w:ilvl w:val="1"/>
          <w:numId w:val="9"/>
        </w:numPr>
        <w:spacing w:before="0"/>
        <w:rPr>
          <w:rFonts w:cs="Tahoma"/>
          <w:i/>
          <w:szCs w:val="20"/>
        </w:rPr>
      </w:pPr>
      <w:r w:rsidRPr="00471F00">
        <w:rPr>
          <w:rFonts w:cs="Tahoma"/>
          <w:i/>
          <w:szCs w:val="20"/>
        </w:rPr>
        <w:t>Kontrolu dostavljenih Izvješća izvođača radova i pružatelja usluga stručnog nadzora i koordinatora zaštite na radu;</w:t>
      </w:r>
    </w:p>
    <w:p w14:paraId="5CD1370F" w14:textId="77777777" w:rsidR="00455CA1" w:rsidRPr="00471F00" w:rsidRDefault="00455CA1" w:rsidP="00313F39">
      <w:pPr>
        <w:pStyle w:val="Odlomakpopisa"/>
        <w:numPr>
          <w:ilvl w:val="1"/>
          <w:numId w:val="9"/>
        </w:numPr>
        <w:spacing w:before="0"/>
        <w:rPr>
          <w:rFonts w:cs="Tahoma"/>
          <w:i/>
          <w:szCs w:val="20"/>
        </w:rPr>
      </w:pPr>
      <w:r w:rsidRPr="00471F00">
        <w:rPr>
          <w:rFonts w:cs="Tahoma"/>
          <w:i/>
          <w:szCs w:val="20"/>
        </w:rPr>
        <w:t>Praćenje troškova i kontrolu izdanih i plaćenih računa izvođača radova i pružatelja usluga;</w:t>
      </w:r>
    </w:p>
    <w:p w14:paraId="613A14E3" w14:textId="77777777" w:rsidR="00455CA1" w:rsidRPr="007C0404" w:rsidRDefault="00455CA1" w:rsidP="00313F39">
      <w:pPr>
        <w:pStyle w:val="Odlomakpopisa"/>
        <w:numPr>
          <w:ilvl w:val="1"/>
          <w:numId w:val="9"/>
        </w:numPr>
        <w:spacing w:before="0"/>
        <w:rPr>
          <w:rFonts w:cs="Tahoma"/>
          <w:i/>
          <w:szCs w:val="20"/>
        </w:rPr>
      </w:pPr>
      <w:r w:rsidRPr="007C0404">
        <w:rPr>
          <w:rFonts w:cs="Tahoma"/>
          <w:i/>
          <w:szCs w:val="20"/>
        </w:rPr>
        <w:t>Sudjelovanje na gradilišnim sastancima, ukoliko se zbog određenih otvorenih pitanja zahtjeva prisustvo Izvršitelja;</w:t>
      </w:r>
    </w:p>
    <w:p w14:paraId="0C402B86" w14:textId="77777777" w:rsidR="00455CA1" w:rsidRPr="007C0404" w:rsidRDefault="00455CA1" w:rsidP="00313F39">
      <w:pPr>
        <w:pStyle w:val="Odlomakpopisa"/>
        <w:numPr>
          <w:ilvl w:val="1"/>
          <w:numId w:val="9"/>
        </w:numPr>
        <w:spacing w:before="0"/>
        <w:rPr>
          <w:rFonts w:cs="Tahoma"/>
          <w:i/>
          <w:szCs w:val="20"/>
        </w:rPr>
      </w:pPr>
      <w:r w:rsidRPr="007C0404">
        <w:rPr>
          <w:rFonts w:cs="Tahoma"/>
          <w:i/>
          <w:szCs w:val="20"/>
        </w:rPr>
        <w:t>Podršku Naručitelju u postupcima primopredaje i završnog obračuna te tijekom tehničkog pregleda odnosno kontrolu postupaka koji uvjetuju i prethode izdavanju uporabne dozvole.</w:t>
      </w:r>
    </w:p>
    <w:p w14:paraId="14D26C1B" w14:textId="77777777" w:rsidR="00455CA1" w:rsidRPr="00471F00" w:rsidRDefault="00455CA1" w:rsidP="00455CA1">
      <w:pPr>
        <w:pStyle w:val="Odlomakpopisa"/>
        <w:ind w:left="1440"/>
        <w:rPr>
          <w:rFonts w:cs="Tahoma"/>
          <w:i/>
          <w:szCs w:val="20"/>
          <w:highlight w:val="yellow"/>
        </w:rPr>
      </w:pPr>
    </w:p>
    <w:p w14:paraId="6789F2AA" w14:textId="77777777" w:rsidR="00455CA1" w:rsidRPr="00471F00" w:rsidRDefault="00455CA1" w:rsidP="00313F39">
      <w:pPr>
        <w:pStyle w:val="Odlomakpopisa"/>
        <w:numPr>
          <w:ilvl w:val="0"/>
          <w:numId w:val="10"/>
        </w:numPr>
        <w:spacing w:before="0"/>
        <w:contextualSpacing w:val="0"/>
        <w:rPr>
          <w:rFonts w:cs="Tahoma"/>
          <w:szCs w:val="20"/>
        </w:rPr>
      </w:pPr>
      <w:r w:rsidRPr="00471F00">
        <w:rPr>
          <w:rFonts w:cs="Tahoma"/>
          <w:szCs w:val="20"/>
        </w:rPr>
        <w:t>Koordinacija trećih strana</w:t>
      </w:r>
    </w:p>
    <w:p w14:paraId="322F6011" w14:textId="77777777" w:rsidR="00455CA1" w:rsidRPr="00471F00" w:rsidRDefault="00455CA1" w:rsidP="00455CA1">
      <w:pPr>
        <w:spacing w:after="0"/>
        <w:ind w:left="720"/>
        <w:rPr>
          <w:rFonts w:cs="Tahoma"/>
          <w:i/>
          <w:szCs w:val="20"/>
        </w:rPr>
      </w:pPr>
      <w:r w:rsidRPr="00471F00">
        <w:rPr>
          <w:rFonts w:cs="Tahoma"/>
          <w:i/>
          <w:szCs w:val="20"/>
        </w:rPr>
        <w:t xml:space="preserve">Izvršitelj će koordinirati međusobnu komunikaciju svih ugovorenih strana te potencijalne probleme i rizike tijekom provedbe projekta. </w:t>
      </w:r>
    </w:p>
    <w:p w14:paraId="5E852CC3" w14:textId="77777777" w:rsidR="00455CA1" w:rsidRPr="00471F00" w:rsidRDefault="00455CA1" w:rsidP="00455CA1">
      <w:pPr>
        <w:ind w:left="720"/>
        <w:rPr>
          <w:rFonts w:cs="Tahoma"/>
          <w:i/>
          <w:szCs w:val="20"/>
        </w:rPr>
      </w:pPr>
      <w:r w:rsidRPr="00471F00">
        <w:rPr>
          <w:rFonts w:cs="Tahoma"/>
          <w:i/>
          <w:szCs w:val="20"/>
        </w:rPr>
        <w:t>Izvršitelj će pružiti potporu Naručitelju u komunikaciji s posredničkim tijelom (PT2) i ispunjavanju svih traženih zahtjeva, dostavi dokumenata i sudjelovati na dogovorenim sastancima.</w:t>
      </w:r>
    </w:p>
    <w:p w14:paraId="361324B5" w14:textId="77777777" w:rsidR="00455CA1" w:rsidRPr="00427D87" w:rsidRDefault="00455CA1" w:rsidP="00427D87">
      <w:pPr>
        <w:spacing w:before="0"/>
        <w:rPr>
          <w:rFonts w:cs="Tahoma"/>
          <w:szCs w:val="20"/>
        </w:rPr>
      </w:pPr>
      <w:r w:rsidRPr="00427D87">
        <w:rPr>
          <w:rFonts w:cs="Tahoma"/>
          <w:szCs w:val="20"/>
        </w:rPr>
        <w:t>Primarno mjesto obavljanja usluga je ured Izvršitelja (primarna komunikacija putem e-maila i telefona), a prisustvo na lokaciji izvođenja radova predviđa se po potrebi i u slučaju kada se to zahtjeva od strane Naručitelja.</w:t>
      </w:r>
    </w:p>
    <w:p w14:paraId="708974CD" w14:textId="77777777" w:rsidR="00427D87" w:rsidRDefault="00427D87" w:rsidP="00427D87">
      <w:pPr>
        <w:rPr>
          <w:b/>
          <w:szCs w:val="20"/>
        </w:rPr>
      </w:pPr>
    </w:p>
    <w:p w14:paraId="61908F58" w14:textId="0CBE0318" w:rsidR="00455CA1" w:rsidRPr="00427D87" w:rsidRDefault="00455CA1" w:rsidP="00427D87">
      <w:pPr>
        <w:rPr>
          <w:b/>
          <w:szCs w:val="20"/>
        </w:rPr>
      </w:pPr>
      <w:r w:rsidRPr="00427D87">
        <w:rPr>
          <w:b/>
          <w:szCs w:val="20"/>
        </w:rPr>
        <w:t>Izvještavanje</w:t>
      </w:r>
    </w:p>
    <w:p w14:paraId="01D812C4" w14:textId="26AB5560" w:rsidR="00455CA1" w:rsidRDefault="00455CA1" w:rsidP="00455CA1">
      <w:r>
        <w:lastRenderedPageBreak/>
        <w:t xml:space="preserve">U svrhu praćenja provedbe Ugovora za pružanje usluga </w:t>
      </w:r>
      <w:r w:rsidR="00427D87">
        <w:t xml:space="preserve">upravljanja projektom i </w:t>
      </w:r>
      <w:r>
        <w:t xml:space="preserve">tehničke pomoći </w:t>
      </w:r>
      <w:r w:rsidR="00427D87">
        <w:t xml:space="preserve">tijekom provedbe projekta sanacije </w:t>
      </w:r>
      <w:r w:rsidR="009223C0">
        <w:t>odlagališta neopasnog otpada</w:t>
      </w:r>
      <w:r w:rsidR="00427D87">
        <w:t xml:space="preserve"> „Moseć“ u Gradu Drnišu </w:t>
      </w:r>
      <w:r>
        <w:t xml:space="preserve">Izvršitelj je obvezan tijekom njegova trajanja dostavljati Naručitelju izvješća o provedenim aktivnostima mjesečnom dinamikom. Izvršitelj će podnositi izvješća u formatu i sadržaju koji će dogovoriti s Naručiteljem. </w:t>
      </w:r>
    </w:p>
    <w:p w14:paraId="59549CFA" w14:textId="77777777" w:rsidR="00455CA1" w:rsidRPr="00A50C11" w:rsidRDefault="00455CA1" w:rsidP="00455CA1">
      <w:pPr>
        <w:rPr>
          <w:u w:val="single"/>
        </w:rPr>
      </w:pPr>
      <w:r w:rsidRPr="00A50C11">
        <w:rPr>
          <w:u w:val="single"/>
        </w:rPr>
        <w:t>Izvješća o provedenim aktivnostima moraju sadržavati:</w:t>
      </w:r>
    </w:p>
    <w:p w14:paraId="1E17105F" w14:textId="1B14943F" w:rsidR="00455CA1" w:rsidRDefault="00455CA1" w:rsidP="00313F39">
      <w:pPr>
        <w:pStyle w:val="Odlomakpopisa"/>
        <w:numPr>
          <w:ilvl w:val="0"/>
          <w:numId w:val="8"/>
        </w:numPr>
        <w:ind w:left="714" w:hanging="357"/>
        <w:contextualSpacing w:val="0"/>
      </w:pPr>
      <w:r>
        <w:t xml:space="preserve">opis provedenih aktivnosti u izvještajnom razdoblju sa svim popratnim dokumentima </w:t>
      </w:r>
      <w:r w:rsidRPr="00A50C11">
        <w:t xml:space="preserve">(plan </w:t>
      </w:r>
      <w:r>
        <w:t>provedbe projekta, matrica rizika i dokazi provedenih aktivnosti);</w:t>
      </w:r>
    </w:p>
    <w:p w14:paraId="75DBC60E" w14:textId="77777777" w:rsidR="00455CA1" w:rsidRDefault="00455CA1" w:rsidP="00313F39">
      <w:pPr>
        <w:pStyle w:val="Odlomakpopisa"/>
        <w:numPr>
          <w:ilvl w:val="0"/>
          <w:numId w:val="8"/>
        </w:numPr>
        <w:ind w:left="714" w:hanging="357"/>
        <w:contextualSpacing w:val="0"/>
      </w:pPr>
      <w:r>
        <w:t xml:space="preserve">status projekta odnosno prikaz napretka provedbe projekta (tehničko/financijski) u odnosu na usvojene pokazatelje (planirane aktivnosti i rokovi po svim Ugovorima). </w:t>
      </w:r>
    </w:p>
    <w:p w14:paraId="0B49F41C" w14:textId="77777777" w:rsidR="00455CA1" w:rsidRPr="00A50C11" w:rsidRDefault="00455CA1" w:rsidP="00455CA1">
      <w:pPr>
        <w:rPr>
          <w:u w:val="single"/>
        </w:rPr>
      </w:pPr>
      <w:r w:rsidRPr="00A50C11">
        <w:rPr>
          <w:u w:val="single"/>
        </w:rPr>
        <w:t>Završno izvješće:</w:t>
      </w:r>
    </w:p>
    <w:p w14:paraId="2F2694BD" w14:textId="77777777" w:rsidR="00455CA1" w:rsidRDefault="00455CA1" w:rsidP="00455CA1">
      <w:r>
        <w:t>Izvršitelj je obvezan na kraju izvršenja svih ugovorenih usluga dostaviti Naručitelju Završno izvješće sa kratkim opisom obavljenih usluga tijekom trajanja Ugovora (pregled svih zadataka Izvršitelja i poduzetih aktivnosti).</w:t>
      </w:r>
    </w:p>
    <w:p w14:paraId="7624E3D5" w14:textId="77777777" w:rsidR="00455CA1" w:rsidRDefault="00455CA1" w:rsidP="00455CA1">
      <w:r>
        <w:t>Sve izvještaje je potrebno izraditi na hrvatskom jeziku te predati Naručitelju u 2 tiskana primjerka i 1 digitalnom (CD).</w:t>
      </w:r>
    </w:p>
    <w:p w14:paraId="5899C9B2" w14:textId="77777777" w:rsidR="00427D87" w:rsidRDefault="00427D87" w:rsidP="00427D87">
      <w:pPr>
        <w:rPr>
          <w:b/>
          <w:szCs w:val="20"/>
        </w:rPr>
      </w:pPr>
    </w:p>
    <w:p w14:paraId="00456608" w14:textId="6452D3F2" w:rsidR="00455CA1" w:rsidRPr="00427D87" w:rsidRDefault="00455CA1" w:rsidP="00427D87">
      <w:pPr>
        <w:rPr>
          <w:b/>
          <w:szCs w:val="20"/>
        </w:rPr>
      </w:pPr>
      <w:r w:rsidRPr="00427D87">
        <w:rPr>
          <w:b/>
          <w:szCs w:val="20"/>
        </w:rPr>
        <w:t>Sadržaji koje osigurava Izvršitelj</w:t>
      </w:r>
    </w:p>
    <w:p w14:paraId="0167F9EE" w14:textId="77777777" w:rsidR="00455CA1" w:rsidRDefault="00455CA1" w:rsidP="00455CA1">
      <w:r>
        <w:t xml:space="preserve">Izvršitelj mora osigurati da njegovo stručno osoblje ima adekvatnu podršku i opremu. </w:t>
      </w:r>
    </w:p>
    <w:p w14:paraId="0CEBDBB5" w14:textId="77777777" w:rsidR="00455CA1" w:rsidRDefault="00455CA1" w:rsidP="00455CA1">
      <w:r>
        <w:t>Svi troškovi za opremu te administrativnu i logističku podršku biti će u nadležnosti Izvršitelja, uključujući:</w:t>
      </w:r>
    </w:p>
    <w:p w14:paraId="4F58721A" w14:textId="77777777" w:rsidR="00455CA1" w:rsidRDefault="00455CA1" w:rsidP="00313F39">
      <w:pPr>
        <w:pStyle w:val="Odlomakpopisa"/>
        <w:numPr>
          <w:ilvl w:val="0"/>
          <w:numId w:val="11"/>
        </w:numPr>
        <w:spacing w:before="0" w:line="276" w:lineRule="auto"/>
      </w:pPr>
      <w:r>
        <w:t>sve troškove koji proizlaze iz aktivnosti njegovog stručnog kadra tijekom ugovornog razdoblja, uključujući smještaj, dnevnice, prijevoz, osiguranje, itd.;</w:t>
      </w:r>
    </w:p>
    <w:p w14:paraId="0F1E2936" w14:textId="0B0F77F4" w:rsidR="00455CA1" w:rsidRDefault="00455CA1" w:rsidP="00313F39">
      <w:pPr>
        <w:pStyle w:val="Odlomakpopisa"/>
        <w:numPr>
          <w:ilvl w:val="0"/>
          <w:numId w:val="11"/>
        </w:numPr>
        <w:spacing w:before="0" w:line="276" w:lineRule="auto"/>
      </w:pPr>
      <w:r>
        <w:t xml:space="preserve">automobile, opremu, uredski materijal te hardver i softver kako bi </w:t>
      </w:r>
      <w:r w:rsidR="00142150">
        <w:t>tim izvršitelja</w:t>
      </w:r>
      <w:r>
        <w:t xml:space="preserve"> bio u potpunosti funkcionalan;</w:t>
      </w:r>
    </w:p>
    <w:p w14:paraId="131FC753" w14:textId="77777777" w:rsidR="00455CA1" w:rsidRDefault="00455CA1" w:rsidP="00313F39">
      <w:pPr>
        <w:pStyle w:val="Odlomakpopisa"/>
        <w:numPr>
          <w:ilvl w:val="0"/>
          <w:numId w:val="11"/>
        </w:numPr>
        <w:spacing w:before="0" w:line="276" w:lineRule="auto"/>
      </w:pPr>
      <w:r>
        <w:t>sve troškove komunikacije, uključujući faks, e-mail, telefon itd.;</w:t>
      </w:r>
    </w:p>
    <w:p w14:paraId="452E724D" w14:textId="77777777" w:rsidR="00455CA1" w:rsidRDefault="00455CA1" w:rsidP="00313F39">
      <w:pPr>
        <w:pStyle w:val="Odlomakpopisa"/>
        <w:numPr>
          <w:ilvl w:val="0"/>
          <w:numId w:val="11"/>
        </w:numPr>
        <w:spacing w:before="0" w:line="276" w:lineRule="auto"/>
      </w:pPr>
      <w:r>
        <w:t>sve troškove pismenog i usmenog prijevoda te javnobilježničke troškove;</w:t>
      </w:r>
    </w:p>
    <w:p w14:paraId="21E3C1D3" w14:textId="77777777" w:rsidR="00455CA1" w:rsidRDefault="00455CA1" w:rsidP="00313F39">
      <w:pPr>
        <w:pStyle w:val="Odlomakpopisa"/>
        <w:numPr>
          <w:ilvl w:val="0"/>
          <w:numId w:val="11"/>
        </w:numPr>
        <w:spacing w:before="0" w:line="276" w:lineRule="auto"/>
      </w:pPr>
      <w:r>
        <w:t>svu opremu, instrumente, usluge i logističku podršku potrebne za provedbu ugovora, te sve troškove koji nastanu prilikom njegove pripreme dokumenata i nacrta, kopiranja, ispisa, itd.;</w:t>
      </w:r>
    </w:p>
    <w:p w14:paraId="398F8AED" w14:textId="77777777" w:rsidR="00455CA1" w:rsidRDefault="00455CA1" w:rsidP="00313F39">
      <w:pPr>
        <w:pStyle w:val="Odlomakpopisa"/>
        <w:numPr>
          <w:ilvl w:val="0"/>
          <w:numId w:val="11"/>
        </w:numPr>
        <w:spacing w:before="0" w:line="276" w:lineRule="auto"/>
      </w:pPr>
      <w:r>
        <w:t>ostalu opremu, instrumente, usluge i logističku podršku potrebnu za provedbu ugovora.</w:t>
      </w:r>
    </w:p>
    <w:p w14:paraId="1D296C4A" w14:textId="43A488C1" w:rsidR="003C00E9" w:rsidRPr="00303E66" w:rsidRDefault="00455CA1" w:rsidP="00427D87">
      <w:pPr>
        <w:rPr>
          <w:rFonts w:eastAsia="Times New Roman"/>
          <w:color w:val="FF0000"/>
          <w:sz w:val="24"/>
          <w:szCs w:val="24"/>
        </w:rPr>
      </w:pPr>
      <w:r>
        <w:t>Izvršitelj je dužan ishoditi sve potrebne dozvole, suglasnosti, plaćati sve naknade i doprinose, kao i sve druge elemente potrebne za rad svog stručnog osoblja koji on angažira o svom trošku za izvršenje ovog Ugovora.</w:t>
      </w:r>
    </w:p>
    <w:sectPr w:rsidR="003C00E9" w:rsidRPr="00303E66" w:rsidSect="00B230CD">
      <w:headerReference w:type="first" r:id="rId10"/>
      <w:footerReference w:type="first" r:id="rId11"/>
      <w:pgSz w:w="11906" w:h="16838"/>
      <w:pgMar w:top="1418"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BED0A" w14:textId="77777777" w:rsidR="00E6377D" w:rsidRDefault="00E6377D" w:rsidP="00770265">
      <w:pPr>
        <w:spacing w:before="0" w:after="0" w:line="240" w:lineRule="auto"/>
      </w:pPr>
      <w:r>
        <w:separator/>
      </w:r>
    </w:p>
  </w:endnote>
  <w:endnote w:type="continuationSeparator" w:id="0">
    <w:p w14:paraId="3F89851D" w14:textId="77777777" w:rsidR="00E6377D" w:rsidRDefault="00E6377D" w:rsidP="007702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81C1A" w14:textId="77777777" w:rsidR="00347F45" w:rsidRDefault="00347F45" w:rsidP="00347F45">
    <w:pPr>
      <w:pStyle w:val="TD-Footer"/>
      <w:pBdr>
        <w:top w:val="single" w:sz="4" w:space="0" w:color="808080" w:themeColor="background1" w:themeShade="80"/>
      </w:pBdr>
      <w:tabs>
        <w:tab w:val="right" w:pos="8931"/>
      </w:tabs>
      <w:spacing w:after="0"/>
    </w:pPr>
    <w:r w:rsidRPr="00631150">
      <w:rPr>
        <w:rFonts w:ascii="Tahoma" w:hAnsi="Tahoma" w:cs="Tahoma"/>
        <w:color w:val="808080" w:themeColor="background1" w:themeShade="80"/>
      </w:rPr>
      <w:tab/>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sidR="00B60F98">
      <w:rPr>
        <w:rFonts w:ascii="Tahoma" w:eastAsia="Times New Roman" w:hAnsi="Tahoma" w:cs="Tahoma"/>
        <w:noProof/>
        <w:color w:val="808080"/>
      </w:rPr>
      <w:t>5</w:t>
    </w:r>
    <w:r w:rsidRPr="00631150">
      <w:rPr>
        <w:rFonts w:ascii="Tahoma" w:eastAsia="Times New Roman" w:hAnsi="Tahoma" w:cs="Tahoma"/>
        <w:noProof/>
        <w:color w:val="808080"/>
      </w:rPr>
      <w:fldChar w:fldCharType="end"/>
    </w:r>
  </w:p>
  <w:p w14:paraId="3ADAE418" w14:textId="43273054" w:rsidR="00347F45" w:rsidRDefault="00EF1CE4">
    <w:pPr>
      <w:pStyle w:val="Podnoje"/>
    </w:pPr>
    <w:r>
      <w:rPr>
        <w:noProof/>
        <w:lang w:eastAsia="hr-HR"/>
      </w:rPr>
      <w:drawing>
        <wp:inline distT="0" distB="0" distL="0" distR="0" wp14:anchorId="5175E899" wp14:editId="33690681">
          <wp:extent cx="5759623" cy="9810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4" t="-209" r="-44" b="19362"/>
                  <a:stretch/>
                </pic:blipFill>
                <pic:spPr bwMode="auto">
                  <a:xfrm>
                    <a:off x="0" y="0"/>
                    <a:ext cx="5760720" cy="981262"/>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175F" w14:textId="1FC46909" w:rsidR="003C00E9" w:rsidRDefault="003C00E9">
    <w:pPr>
      <w:pStyle w:val="Podnoje"/>
    </w:pPr>
    <w:r>
      <w:rPr>
        <w:noProof/>
        <w:lang w:eastAsia="hr-HR"/>
      </w:rPr>
      <w:drawing>
        <wp:inline distT="0" distB="0" distL="0" distR="0" wp14:anchorId="4CFE49B9" wp14:editId="525F14AC">
          <wp:extent cx="5759623" cy="98107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4" t="-209" r="-44" b="19362"/>
                  <a:stretch/>
                </pic:blipFill>
                <pic:spPr bwMode="auto">
                  <a:xfrm>
                    <a:off x="0" y="0"/>
                    <a:ext cx="5760720" cy="981262"/>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B4474" w14:textId="77777777" w:rsidR="003C00E9" w:rsidRPr="00631150" w:rsidRDefault="003C00E9" w:rsidP="003C00E9">
    <w:pPr>
      <w:pStyle w:val="TD-Footer"/>
      <w:pBdr>
        <w:top w:val="single" w:sz="4" w:space="0" w:color="808080" w:themeColor="background1" w:themeShade="80"/>
      </w:pBdr>
      <w:tabs>
        <w:tab w:val="right" w:pos="8931"/>
      </w:tabs>
      <w:spacing w:after="0"/>
      <w:jc w:val="right"/>
      <w:rPr>
        <w:rFonts w:ascii="Tahoma" w:hAnsi="Tahoma" w:cs="Tahoma"/>
        <w:color w:val="808080" w:themeColor="background1" w:themeShade="80"/>
      </w:rPr>
    </w:pPr>
    <w:r w:rsidRPr="00631150">
      <w:rPr>
        <w:rFonts w:ascii="Tahoma" w:hAnsi="Tahoma" w:cs="Tahoma"/>
        <w:color w:val="808080" w:themeColor="background1" w:themeShade="80"/>
      </w:rPr>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sidR="00B60F98">
      <w:rPr>
        <w:rFonts w:ascii="Tahoma" w:eastAsia="Times New Roman" w:hAnsi="Tahoma" w:cs="Tahoma"/>
        <w:noProof/>
        <w:color w:val="808080"/>
      </w:rPr>
      <w:t>1</w:t>
    </w:r>
    <w:r w:rsidRPr="00631150">
      <w:rPr>
        <w:rFonts w:ascii="Tahoma" w:eastAsia="Times New Roman" w:hAnsi="Tahoma" w:cs="Tahoma"/>
        <w:noProof/>
        <w:color w:val="808080"/>
      </w:rPr>
      <w:fldChar w:fldCharType="end"/>
    </w:r>
  </w:p>
  <w:p w14:paraId="7E46B34C" w14:textId="1B07636B" w:rsidR="003C00E9" w:rsidRDefault="00EF1CE4">
    <w:pPr>
      <w:pStyle w:val="Podnoje"/>
    </w:pPr>
    <w:r>
      <w:rPr>
        <w:noProof/>
        <w:lang w:eastAsia="hr-HR"/>
      </w:rPr>
      <w:drawing>
        <wp:inline distT="0" distB="0" distL="0" distR="0" wp14:anchorId="057DC569" wp14:editId="450AEFD6">
          <wp:extent cx="5759623" cy="98107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4" t="-209" r="-44" b="19362"/>
                  <a:stretch/>
                </pic:blipFill>
                <pic:spPr bwMode="auto">
                  <a:xfrm>
                    <a:off x="0" y="0"/>
                    <a:ext cx="5760720" cy="981262"/>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AFB6B" w14:textId="77777777" w:rsidR="00E6377D" w:rsidRDefault="00E6377D" w:rsidP="00770265">
      <w:pPr>
        <w:spacing w:before="0" w:after="0" w:line="240" w:lineRule="auto"/>
      </w:pPr>
      <w:r>
        <w:separator/>
      </w:r>
    </w:p>
  </w:footnote>
  <w:footnote w:type="continuationSeparator" w:id="0">
    <w:p w14:paraId="050E4D47" w14:textId="77777777" w:rsidR="00E6377D" w:rsidRDefault="00E6377D" w:rsidP="007702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F2BDD" w14:textId="77777777" w:rsidR="00E55757" w:rsidRPr="006A7F0C" w:rsidRDefault="00E55757" w:rsidP="00E55757">
    <w:pPr>
      <w:pBdr>
        <w:bottom w:val="single" w:sz="4" w:space="1" w:color="808080"/>
      </w:pBdr>
      <w:spacing w:after="0"/>
      <w:jc w:val="center"/>
      <w:rPr>
        <w:rFonts w:eastAsia="Times New Roman" w:cs="Tahoma"/>
        <w:color w:val="808080"/>
        <w:sz w:val="18"/>
        <w:szCs w:val="18"/>
        <w:lang w:eastAsia="sl-SI"/>
      </w:rPr>
    </w:pPr>
    <w:r>
      <w:rPr>
        <w:rFonts w:eastAsia="Calibri" w:cs="Tahoma"/>
        <w:color w:val="808080"/>
        <w:sz w:val="18"/>
        <w:szCs w:val="18"/>
        <w:lang w:eastAsia="sl-SI"/>
      </w:rPr>
      <w:t xml:space="preserve">Poziv na dostavu ponuda </w:t>
    </w:r>
    <w:r w:rsidRPr="006A7F0C">
      <w:rPr>
        <w:rFonts w:eastAsia="Calibri" w:cs="Tahoma"/>
        <w:color w:val="808080"/>
        <w:sz w:val="18"/>
        <w:szCs w:val="18"/>
        <w:lang w:eastAsia="sl-SI"/>
      </w:rPr>
      <w:t>za uslug</w:t>
    </w:r>
    <w:r>
      <w:rPr>
        <w:rFonts w:eastAsia="Calibri" w:cs="Tahoma"/>
        <w:color w:val="808080"/>
        <w:sz w:val="18"/>
        <w:szCs w:val="18"/>
        <w:lang w:eastAsia="sl-SI"/>
      </w:rPr>
      <w:t>u</w:t>
    </w:r>
    <w:r w:rsidRPr="006A7F0C">
      <w:rPr>
        <w:rFonts w:eastAsia="Calibri" w:cs="Tahoma"/>
        <w:color w:val="808080"/>
        <w:sz w:val="18"/>
        <w:szCs w:val="18"/>
        <w:lang w:eastAsia="sl-SI"/>
      </w:rPr>
      <w:t xml:space="preserve"> </w:t>
    </w:r>
    <w:r>
      <w:rPr>
        <w:rFonts w:eastAsia="Calibri" w:cs="Tahoma"/>
        <w:color w:val="808080"/>
        <w:sz w:val="18"/>
        <w:szCs w:val="18"/>
        <w:lang w:eastAsia="sl-SI"/>
      </w:rPr>
      <w:t>upravljanja projektom i tehničke pomoći tijekom provedbe projekta sanacije odlagališta otpada „Moseć“ u Gradu Drnišu</w:t>
    </w:r>
  </w:p>
  <w:p w14:paraId="14528D76" w14:textId="77777777" w:rsidR="00E55757" w:rsidRDefault="00E55757" w:rsidP="00E55757">
    <w:pPr>
      <w:pStyle w:val="Zaglavlje"/>
    </w:pPr>
  </w:p>
  <w:p w14:paraId="4059E870" w14:textId="65CA0582" w:rsidR="008E3A66" w:rsidRPr="00E55757" w:rsidRDefault="008E3A66" w:rsidP="00E5575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8C14C" w14:textId="34F0AA02" w:rsidR="00C10C8A" w:rsidRPr="006A7F0C" w:rsidRDefault="00C10C8A" w:rsidP="00C10C8A">
    <w:pPr>
      <w:pBdr>
        <w:bottom w:val="single" w:sz="4" w:space="1" w:color="808080"/>
      </w:pBdr>
      <w:spacing w:after="0"/>
      <w:jc w:val="center"/>
      <w:rPr>
        <w:rFonts w:eastAsia="Times New Roman" w:cs="Tahoma"/>
        <w:color w:val="808080"/>
        <w:sz w:val="18"/>
        <w:szCs w:val="18"/>
        <w:lang w:eastAsia="sl-SI"/>
      </w:rPr>
    </w:pPr>
    <w:r>
      <w:rPr>
        <w:rFonts w:eastAsia="Calibri" w:cs="Tahoma"/>
        <w:color w:val="808080"/>
        <w:sz w:val="18"/>
        <w:szCs w:val="18"/>
        <w:lang w:eastAsia="sl-SI"/>
      </w:rPr>
      <w:t xml:space="preserve">Poziv na dostavu ponuda </w:t>
    </w:r>
    <w:r w:rsidRPr="006A7F0C">
      <w:rPr>
        <w:rFonts w:eastAsia="Calibri" w:cs="Tahoma"/>
        <w:color w:val="808080"/>
        <w:sz w:val="18"/>
        <w:szCs w:val="18"/>
        <w:lang w:eastAsia="sl-SI"/>
      </w:rPr>
      <w:t>za uslug</w:t>
    </w:r>
    <w:r>
      <w:rPr>
        <w:rFonts w:eastAsia="Calibri" w:cs="Tahoma"/>
        <w:color w:val="808080"/>
        <w:sz w:val="18"/>
        <w:szCs w:val="18"/>
        <w:lang w:eastAsia="sl-SI"/>
      </w:rPr>
      <w:t>u</w:t>
    </w:r>
    <w:r w:rsidRPr="006A7F0C">
      <w:rPr>
        <w:rFonts w:eastAsia="Calibri" w:cs="Tahoma"/>
        <w:color w:val="808080"/>
        <w:sz w:val="18"/>
        <w:szCs w:val="18"/>
        <w:lang w:eastAsia="sl-SI"/>
      </w:rPr>
      <w:t xml:space="preserve"> </w:t>
    </w:r>
    <w:r>
      <w:rPr>
        <w:rFonts w:eastAsia="Calibri" w:cs="Tahoma"/>
        <w:color w:val="808080"/>
        <w:sz w:val="18"/>
        <w:szCs w:val="18"/>
        <w:lang w:eastAsia="sl-SI"/>
      </w:rPr>
      <w:t xml:space="preserve">upravljanja projektom i tehničke pomoći tijekom provedbe projekta sanacije odlagališta </w:t>
    </w:r>
    <w:r w:rsidR="00856CAB">
      <w:rPr>
        <w:rFonts w:eastAsia="Calibri" w:cs="Tahoma"/>
        <w:color w:val="808080"/>
        <w:sz w:val="18"/>
        <w:szCs w:val="18"/>
        <w:lang w:eastAsia="sl-SI"/>
      </w:rPr>
      <w:t xml:space="preserve">neopasnog </w:t>
    </w:r>
    <w:r>
      <w:rPr>
        <w:rFonts w:eastAsia="Calibri" w:cs="Tahoma"/>
        <w:color w:val="808080"/>
        <w:sz w:val="18"/>
        <w:szCs w:val="18"/>
        <w:lang w:eastAsia="sl-SI"/>
      </w:rPr>
      <w:t>otpada „Moseć“ u Gradu Drnišu</w:t>
    </w:r>
  </w:p>
  <w:p w14:paraId="7E8C7977" w14:textId="77777777" w:rsidR="00C10C8A" w:rsidRPr="00575B7D" w:rsidRDefault="00C10C8A" w:rsidP="00C10C8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3C13127"/>
    <w:multiLevelType w:val="hybridMultilevel"/>
    <w:tmpl w:val="C05AB4E8"/>
    <w:lvl w:ilvl="0" w:tplc="62363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D944E1"/>
    <w:multiLevelType w:val="hybridMultilevel"/>
    <w:tmpl w:val="9E8E3BF0"/>
    <w:lvl w:ilvl="0" w:tplc="5FCA5E6A">
      <w:numFmt w:val="bullet"/>
      <w:lvlText w:val="•"/>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00844F5"/>
    <w:multiLevelType w:val="hybridMultilevel"/>
    <w:tmpl w:val="76FE70CC"/>
    <w:lvl w:ilvl="0" w:tplc="62363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BA51CF"/>
    <w:multiLevelType w:val="hybridMultilevel"/>
    <w:tmpl w:val="24D8E844"/>
    <w:lvl w:ilvl="0" w:tplc="62363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FA190D"/>
    <w:multiLevelType w:val="hybridMultilevel"/>
    <w:tmpl w:val="2AF43E0C"/>
    <w:lvl w:ilvl="0" w:tplc="8124A652">
      <w:start w:val="3"/>
      <w:numFmt w:val="bullet"/>
      <w:lvlText w:val="-"/>
      <w:lvlJc w:val="left"/>
      <w:pPr>
        <w:ind w:left="720" w:hanging="360"/>
      </w:pPr>
      <w:rPr>
        <w:rFonts w:ascii="Calibri" w:eastAsia="DengXi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D40677F"/>
    <w:multiLevelType w:val="hybridMultilevel"/>
    <w:tmpl w:val="A24E2ED4"/>
    <w:lvl w:ilvl="0" w:tplc="62363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C811D4"/>
    <w:multiLevelType w:val="hybridMultilevel"/>
    <w:tmpl w:val="D78CC8E4"/>
    <w:lvl w:ilvl="0" w:tplc="4A180D9A">
      <w:start w:val="1"/>
      <w:numFmt w:val="bullet"/>
      <w:lvlText w:val="-"/>
      <w:lvlJc w:val="left"/>
      <w:pPr>
        <w:ind w:left="720" w:hanging="360"/>
      </w:pPr>
      <w:rPr>
        <w:rFonts w:ascii="Arial Narrow" w:eastAsiaTheme="minorHAnsi" w:hAnsi="Arial Narrow"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476C25"/>
    <w:multiLevelType w:val="hybridMultilevel"/>
    <w:tmpl w:val="A8AA1710"/>
    <w:lvl w:ilvl="0" w:tplc="8124A652">
      <w:start w:val="3"/>
      <w:numFmt w:val="bullet"/>
      <w:lvlText w:val="-"/>
      <w:lvlJc w:val="left"/>
      <w:pPr>
        <w:ind w:left="720" w:hanging="360"/>
      </w:pPr>
      <w:rPr>
        <w:rFonts w:ascii="Calibri" w:eastAsia="DengXi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AC9443E"/>
    <w:multiLevelType w:val="hybridMultilevel"/>
    <w:tmpl w:val="85C692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0C9075C"/>
    <w:multiLevelType w:val="hybridMultilevel"/>
    <w:tmpl w:val="F8904F5A"/>
    <w:lvl w:ilvl="0" w:tplc="D522FFA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657922F0"/>
    <w:multiLevelType w:val="hybridMultilevel"/>
    <w:tmpl w:val="9E6E830E"/>
    <w:lvl w:ilvl="0" w:tplc="62363954">
      <w:start w:val="1"/>
      <w:numFmt w:val="bullet"/>
      <w:lvlText w:val="­"/>
      <w:lvlJc w:val="left"/>
      <w:pPr>
        <w:ind w:left="720" w:hanging="360"/>
      </w:pPr>
      <w:rPr>
        <w:rFonts w:ascii="Times New Roman" w:hAnsi="Times New Roman" w:cs="Times New Roman" w:hint="default"/>
      </w:rPr>
    </w:lvl>
    <w:lvl w:ilvl="1" w:tplc="5FCA5E6A">
      <w:numFmt w:val="bullet"/>
      <w:lvlText w:val="•"/>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EDC3B5D"/>
    <w:multiLevelType w:val="hybridMultilevel"/>
    <w:tmpl w:val="70CE058E"/>
    <w:lvl w:ilvl="0" w:tplc="8124A652">
      <w:start w:val="3"/>
      <w:numFmt w:val="bullet"/>
      <w:lvlText w:val="-"/>
      <w:lvlJc w:val="left"/>
      <w:pPr>
        <w:ind w:left="720" w:hanging="360"/>
      </w:pPr>
      <w:rPr>
        <w:rFonts w:ascii="Calibri" w:eastAsia="DengXi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0F83BAC"/>
    <w:multiLevelType w:val="hybridMultilevel"/>
    <w:tmpl w:val="082245BC"/>
    <w:lvl w:ilvl="0" w:tplc="62363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12F647A"/>
    <w:multiLevelType w:val="hybridMultilevel"/>
    <w:tmpl w:val="EB40AFBC"/>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8634457"/>
    <w:multiLevelType w:val="hybridMultilevel"/>
    <w:tmpl w:val="EB40AFBC"/>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3"/>
  </w:num>
  <w:num w:numId="6">
    <w:abstractNumId w:val="14"/>
  </w:num>
  <w:num w:numId="7">
    <w:abstractNumId w:val="15"/>
  </w:num>
  <w:num w:numId="8">
    <w:abstractNumId w:val="7"/>
  </w:num>
  <w:num w:numId="9">
    <w:abstractNumId w:val="11"/>
  </w:num>
  <w:num w:numId="10">
    <w:abstractNumId w:val="1"/>
  </w:num>
  <w:num w:numId="11">
    <w:abstractNumId w:val="13"/>
  </w:num>
  <w:num w:numId="12">
    <w:abstractNumId w:val="0"/>
  </w:num>
  <w:num w:numId="13">
    <w:abstractNumId w:val="12"/>
  </w:num>
  <w:num w:numId="14">
    <w:abstractNumId w:val="8"/>
  </w:num>
  <w:num w:numId="15">
    <w:abstractNumId w:val="10"/>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65"/>
    <w:rsid w:val="00006CE1"/>
    <w:rsid w:val="000125A9"/>
    <w:rsid w:val="00040186"/>
    <w:rsid w:val="00095444"/>
    <w:rsid w:val="000A20B3"/>
    <w:rsid w:val="000A20C6"/>
    <w:rsid w:val="000B7956"/>
    <w:rsid w:val="000D355E"/>
    <w:rsid w:val="000E16A6"/>
    <w:rsid w:val="000E6D8F"/>
    <w:rsid w:val="000F58D6"/>
    <w:rsid w:val="001059E9"/>
    <w:rsid w:val="00113CB5"/>
    <w:rsid w:val="00132DED"/>
    <w:rsid w:val="00134B3A"/>
    <w:rsid w:val="00142150"/>
    <w:rsid w:val="00155EEB"/>
    <w:rsid w:val="001776FE"/>
    <w:rsid w:val="001C7866"/>
    <w:rsid w:val="001E205A"/>
    <w:rsid w:val="00204F55"/>
    <w:rsid w:val="00205FF5"/>
    <w:rsid w:val="00223684"/>
    <w:rsid w:val="00235A89"/>
    <w:rsid w:val="00237FA5"/>
    <w:rsid w:val="002568D1"/>
    <w:rsid w:val="0028392E"/>
    <w:rsid w:val="002B0D00"/>
    <w:rsid w:val="002D08AC"/>
    <w:rsid w:val="002E6EC2"/>
    <w:rsid w:val="00302F34"/>
    <w:rsid w:val="00313F39"/>
    <w:rsid w:val="003171D2"/>
    <w:rsid w:val="003332B8"/>
    <w:rsid w:val="0034161E"/>
    <w:rsid w:val="00345DED"/>
    <w:rsid w:val="00347F45"/>
    <w:rsid w:val="00351C34"/>
    <w:rsid w:val="0037516C"/>
    <w:rsid w:val="003853C4"/>
    <w:rsid w:val="003928E2"/>
    <w:rsid w:val="0039714B"/>
    <w:rsid w:val="003A0254"/>
    <w:rsid w:val="003A0AF7"/>
    <w:rsid w:val="003A2D58"/>
    <w:rsid w:val="003B44F9"/>
    <w:rsid w:val="003B4B32"/>
    <w:rsid w:val="003C00E9"/>
    <w:rsid w:val="003C0DAB"/>
    <w:rsid w:val="003D62A4"/>
    <w:rsid w:val="003E50F7"/>
    <w:rsid w:val="003F1601"/>
    <w:rsid w:val="003F2349"/>
    <w:rsid w:val="003F2E7D"/>
    <w:rsid w:val="00405DE3"/>
    <w:rsid w:val="00414D97"/>
    <w:rsid w:val="00427D87"/>
    <w:rsid w:val="004339D0"/>
    <w:rsid w:val="00445CEC"/>
    <w:rsid w:val="00450025"/>
    <w:rsid w:val="00455CA1"/>
    <w:rsid w:val="00471A46"/>
    <w:rsid w:val="00474720"/>
    <w:rsid w:val="004A488C"/>
    <w:rsid w:val="004A5B66"/>
    <w:rsid w:val="004A6344"/>
    <w:rsid w:val="004D16F7"/>
    <w:rsid w:val="004E32DA"/>
    <w:rsid w:val="00507FF8"/>
    <w:rsid w:val="005125D9"/>
    <w:rsid w:val="00512C1A"/>
    <w:rsid w:val="005172D4"/>
    <w:rsid w:val="00520C39"/>
    <w:rsid w:val="00522E2B"/>
    <w:rsid w:val="00543A2E"/>
    <w:rsid w:val="00547ECA"/>
    <w:rsid w:val="00561BD2"/>
    <w:rsid w:val="0057168C"/>
    <w:rsid w:val="00571FED"/>
    <w:rsid w:val="00574DEA"/>
    <w:rsid w:val="00584AD8"/>
    <w:rsid w:val="00597468"/>
    <w:rsid w:val="00597A59"/>
    <w:rsid w:val="005A676C"/>
    <w:rsid w:val="005B2797"/>
    <w:rsid w:val="005B2C6E"/>
    <w:rsid w:val="005B5F71"/>
    <w:rsid w:val="005B7DAF"/>
    <w:rsid w:val="005C4687"/>
    <w:rsid w:val="005D23ED"/>
    <w:rsid w:val="005D74AD"/>
    <w:rsid w:val="00605255"/>
    <w:rsid w:val="006330F7"/>
    <w:rsid w:val="00653800"/>
    <w:rsid w:val="006711E8"/>
    <w:rsid w:val="00671483"/>
    <w:rsid w:val="00673D6F"/>
    <w:rsid w:val="00683C18"/>
    <w:rsid w:val="00693769"/>
    <w:rsid w:val="00696FC0"/>
    <w:rsid w:val="006A436C"/>
    <w:rsid w:val="006B0DA3"/>
    <w:rsid w:val="006B7495"/>
    <w:rsid w:val="006D0000"/>
    <w:rsid w:val="006E4617"/>
    <w:rsid w:val="00701709"/>
    <w:rsid w:val="00740A4C"/>
    <w:rsid w:val="00765051"/>
    <w:rsid w:val="00770265"/>
    <w:rsid w:val="00771643"/>
    <w:rsid w:val="0078146F"/>
    <w:rsid w:val="00785B7C"/>
    <w:rsid w:val="007870D1"/>
    <w:rsid w:val="007B4C9B"/>
    <w:rsid w:val="007C7CD9"/>
    <w:rsid w:val="007D3DDA"/>
    <w:rsid w:val="00806CAF"/>
    <w:rsid w:val="00817D76"/>
    <w:rsid w:val="00820722"/>
    <w:rsid w:val="008244EB"/>
    <w:rsid w:val="008407A4"/>
    <w:rsid w:val="00856CAB"/>
    <w:rsid w:val="00875FEC"/>
    <w:rsid w:val="00877930"/>
    <w:rsid w:val="008951E7"/>
    <w:rsid w:val="008B25A6"/>
    <w:rsid w:val="008D778F"/>
    <w:rsid w:val="008E3A66"/>
    <w:rsid w:val="008F6B46"/>
    <w:rsid w:val="009223C0"/>
    <w:rsid w:val="009360C9"/>
    <w:rsid w:val="009464AC"/>
    <w:rsid w:val="00952580"/>
    <w:rsid w:val="009544E4"/>
    <w:rsid w:val="00957897"/>
    <w:rsid w:val="0096118F"/>
    <w:rsid w:val="0096687E"/>
    <w:rsid w:val="009719C9"/>
    <w:rsid w:val="00971FF4"/>
    <w:rsid w:val="00984E41"/>
    <w:rsid w:val="00A03C5F"/>
    <w:rsid w:val="00A12886"/>
    <w:rsid w:val="00A137A0"/>
    <w:rsid w:val="00A14659"/>
    <w:rsid w:val="00A159A9"/>
    <w:rsid w:val="00A337F4"/>
    <w:rsid w:val="00A34976"/>
    <w:rsid w:val="00A35B52"/>
    <w:rsid w:val="00A53C68"/>
    <w:rsid w:val="00A61F80"/>
    <w:rsid w:val="00A73375"/>
    <w:rsid w:val="00A74358"/>
    <w:rsid w:val="00AA0B06"/>
    <w:rsid w:val="00AA2E3A"/>
    <w:rsid w:val="00AB0874"/>
    <w:rsid w:val="00AB42E3"/>
    <w:rsid w:val="00AF34F2"/>
    <w:rsid w:val="00B230CD"/>
    <w:rsid w:val="00B241FC"/>
    <w:rsid w:val="00B24B6E"/>
    <w:rsid w:val="00B412D0"/>
    <w:rsid w:val="00B546F2"/>
    <w:rsid w:val="00B60C9D"/>
    <w:rsid w:val="00B60F98"/>
    <w:rsid w:val="00B63478"/>
    <w:rsid w:val="00B808F1"/>
    <w:rsid w:val="00B946B2"/>
    <w:rsid w:val="00BB65DA"/>
    <w:rsid w:val="00BC1D52"/>
    <w:rsid w:val="00BD2374"/>
    <w:rsid w:val="00BE39DD"/>
    <w:rsid w:val="00C10C8A"/>
    <w:rsid w:val="00C1449D"/>
    <w:rsid w:val="00C359E3"/>
    <w:rsid w:val="00C43F63"/>
    <w:rsid w:val="00C6068B"/>
    <w:rsid w:val="00C925C4"/>
    <w:rsid w:val="00CA0BA4"/>
    <w:rsid w:val="00CA64F3"/>
    <w:rsid w:val="00CB3A23"/>
    <w:rsid w:val="00CC42B8"/>
    <w:rsid w:val="00CD04F0"/>
    <w:rsid w:val="00D209B7"/>
    <w:rsid w:val="00D41F96"/>
    <w:rsid w:val="00D46603"/>
    <w:rsid w:val="00D60C40"/>
    <w:rsid w:val="00D7234E"/>
    <w:rsid w:val="00D82CD6"/>
    <w:rsid w:val="00D9299C"/>
    <w:rsid w:val="00D9641D"/>
    <w:rsid w:val="00DB5911"/>
    <w:rsid w:val="00DD461F"/>
    <w:rsid w:val="00DF1DCA"/>
    <w:rsid w:val="00DF3740"/>
    <w:rsid w:val="00DF45B9"/>
    <w:rsid w:val="00DF6821"/>
    <w:rsid w:val="00E03EB6"/>
    <w:rsid w:val="00E1078F"/>
    <w:rsid w:val="00E3056E"/>
    <w:rsid w:val="00E55757"/>
    <w:rsid w:val="00E6377D"/>
    <w:rsid w:val="00E75EAB"/>
    <w:rsid w:val="00E80C0B"/>
    <w:rsid w:val="00E90B86"/>
    <w:rsid w:val="00EA5ECC"/>
    <w:rsid w:val="00EB0871"/>
    <w:rsid w:val="00EB0EDF"/>
    <w:rsid w:val="00EB24FA"/>
    <w:rsid w:val="00EC0DEA"/>
    <w:rsid w:val="00ED54A6"/>
    <w:rsid w:val="00EF1CE4"/>
    <w:rsid w:val="00F46BF1"/>
    <w:rsid w:val="00F5036D"/>
    <w:rsid w:val="00F5200B"/>
    <w:rsid w:val="00F6496A"/>
    <w:rsid w:val="00F67321"/>
    <w:rsid w:val="00F67DC6"/>
    <w:rsid w:val="00F93BBA"/>
    <w:rsid w:val="00FB1A87"/>
    <w:rsid w:val="00FE70B4"/>
    <w:rsid w:val="00FF0DC3"/>
    <w:rsid w:val="00FF1E86"/>
    <w:rsid w:val="00FF2094"/>
    <w:rsid w:val="00FF61EB"/>
    <w:rsid w:val="08F4D5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E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6F7"/>
    <w:pPr>
      <w:spacing w:before="120" w:after="120" w:line="220" w:lineRule="atLeast"/>
    </w:pPr>
    <w:rPr>
      <w:rFonts w:ascii="Tahoma" w:hAnsi="Tahoma"/>
      <w:sz w:val="20"/>
    </w:rPr>
  </w:style>
  <w:style w:type="paragraph" w:styleId="Naslov1">
    <w:name w:val="heading 1"/>
    <w:basedOn w:val="Normal"/>
    <w:next w:val="Normal"/>
    <w:link w:val="Naslov1Char"/>
    <w:uiPriority w:val="9"/>
    <w:qFormat/>
    <w:rsid w:val="00BC1D52"/>
    <w:pPr>
      <w:keepNext/>
      <w:keepLines/>
      <w:spacing w:before="240" w:after="240"/>
      <w:outlineLvl w:val="0"/>
    </w:pPr>
    <w:rPr>
      <w:rFonts w:eastAsiaTheme="majorEastAsia" w:cstheme="majorBidi"/>
      <w:b/>
      <w:bCs/>
      <w:color w:val="000000" w:themeColor="text1"/>
      <w:szCs w:val="28"/>
    </w:rPr>
  </w:style>
  <w:style w:type="paragraph" w:styleId="Naslov3">
    <w:name w:val="heading 3"/>
    <w:basedOn w:val="Normal"/>
    <w:next w:val="Normal"/>
    <w:link w:val="Naslov3Char"/>
    <w:uiPriority w:val="9"/>
    <w:semiHidden/>
    <w:unhideWhenUsed/>
    <w:qFormat/>
    <w:rsid w:val="00455C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semiHidden/>
    <w:unhideWhenUsed/>
    <w:qFormat/>
    <w:rsid w:val="00455CA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Graf1"/>
    <w:basedOn w:val="Normal"/>
    <w:link w:val="OdlomakpopisaChar"/>
    <w:uiPriority w:val="34"/>
    <w:qFormat/>
    <w:rsid w:val="00770265"/>
    <w:pPr>
      <w:ind w:left="720"/>
      <w:contextualSpacing/>
    </w:p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
    <w:link w:val="Odlomakpopisa"/>
    <w:uiPriority w:val="34"/>
    <w:qFormat/>
    <w:rsid w:val="00770265"/>
    <w:rPr>
      <w:rFonts w:ascii="Tahoma" w:hAnsi="Tahoma"/>
      <w:sz w:val="20"/>
    </w:rPr>
  </w:style>
  <w:style w:type="paragraph" w:styleId="Zaglavlje">
    <w:name w:val="header"/>
    <w:basedOn w:val="Normal"/>
    <w:link w:val="ZaglavljeChar"/>
    <w:uiPriority w:val="99"/>
    <w:unhideWhenUsed/>
    <w:rsid w:val="00770265"/>
    <w:pPr>
      <w:tabs>
        <w:tab w:val="center" w:pos="4536"/>
        <w:tab w:val="right" w:pos="9072"/>
      </w:tabs>
      <w:spacing w:before="0" w:after="0" w:line="240" w:lineRule="auto"/>
    </w:pPr>
  </w:style>
  <w:style w:type="character" w:customStyle="1" w:styleId="ZaglavljeChar">
    <w:name w:val="Zaglavlje Char"/>
    <w:basedOn w:val="Zadanifontodlomka"/>
    <w:link w:val="Zaglavlje"/>
    <w:uiPriority w:val="99"/>
    <w:rsid w:val="00770265"/>
    <w:rPr>
      <w:rFonts w:ascii="Tahoma" w:hAnsi="Tahoma"/>
      <w:sz w:val="20"/>
    </w:rPr>
  </w:style>
  <w:style w:type="paragraph" w:styleId="Podnoje">
    <w:name w:val="footer"/>
    <w:basedOn w:val="Normal"/>
    <w:link w:val="PodnojeChar"/>
    <w:uiPriority w:val="99"/>
    <w:unhideWhenUsed/>
    <w:rsid w:val="00770265"/>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770265"/>
    <w:rPr>
      <w:rFonts w:ascii="Tahoma" w:hAnsi="Tahoma"/>
      <w:sz w:val="20"/>
    </w:rPr>
  </w:style>
  <w:style w:type="paragraph" w:customStyle="1" w:styleId="TD-Footer">
    <w:name w:val="TD-Footer"/>
    <w:basedOn w:val="Normal"/>
    <w:rsid w:val="00347F45"/>
    <w:pPr>
      <w:pBdr>
        <w:top w:val="single" w:sz="4" w:space="1" w:color="auto"/>
      </w:pBdr>
      <w:tabs>
        <w:tab w:val="right" w:pos="9072"/>
      </w:tabs>
    </w:pPr>
    <w:rPr>
      <w:rFonts w:ascii="Arial" w:eastAsiaTheme="minorEastAsia" w:hAnsi="Arial"/>
      <w:sz w:val="18"/>
      <w:szCs w:val="18"/>
    </w:rPr>
  </w:style>
  <w:style w:type="character" w:customStyle="1" w:styleId="Naslov1Char">
    <w:name w:val="Naslov 1 Char"/>
    <w:basedOn w:val="Zadanifontodlomka"/>
    <w:link w:val="Naslov1"/>
    <w:uiPriority w:val="9"/>
    <w:rsid w:val="00BC1D52"/>
    <w:rPr>
      <w:rFonts w:ascii="Tahoma" w:eastAsiaTheme="majorEastAsia" w:hAnsi="Tahoma" w:cstheme="majorBidi"/>
      <w:b/>
      <w:bCs/>
      <w:color w:val="000000" w:themeColor="text1"/>
      <w:sz w:val="20"/>
      <w:szCs w:val="28"/>
    </w:rPr>
  </w:style>
  <w:style w:type="paragraph" w:customStyle="1" w:styleId="BodyTextBoldheading">
    <w:name w:val="Body Text Bold heading"/>
    <w:basedOn w:val="Normal"/>
    <w:link w:val="BodyTextBoldheadingChar"/>
    <w:qFormat/>
    <w:rsid w:val="00235A89"/>
    <w:pPr>
      <w:spacing w:before="240" w:line="276" w:lineRule="auto"/>
    </w:pPr>
    <w:rPr>
      <w:rFonts w:ascii="Calibri" w:eastAsia="Arial Unicode MS" w:hAnsi="Calibri" w:cs="Times New Roman"/>
      <w:b/>
      <w:sz w:val="22"/>
      <w:lang w:val="en-GB"/>
    </w:rPr>
  </w:style>
  <w:style w:type="character" w:customStyle="1" w:styleId="BodyTextBoldheadingChar">
    <w:name w:val="Body Text Bold heading Char"/>
    <w:link w:val="BodyTextBoldheading"/>
    <w:rsid w:val="00235A89"/>
    <w:rPr>
      <w:rFonts w:ascii="Calibri" w:eastAsia="Arial Unicode MS" w:hAnsi="Calibri" w:cs="Times New Roman"/>
      <w:b/>
      <w:lang w:val="en-GB"/>
    </w:rPr>
  </w:style>
  <w:style w:type="character" w:styleId="Referencakomentara">
    <w:name w:val="annotation reference"/>
    <w:basedOn w:val="Zadanifontodlomka"/>
    <w:uiPriority w:val="99"/>
    <w:semiHidden/>
    <w:unhideWhenUsed/>
    <w:rsid w:val="00574DEA"/>
    <w:rPr>
      <w:sz w:val="16"/>
      <w:szCs w:val="16"/>
    </w:rPr>
  </w:style>
  <w:style w:type="paragraph" w:styleId="Tekstkomentara">
    <w:name w:val="annotation text"/>
    <w:basedOn w:val="Normal"/>
    <w:link w:val="TekstkomentaraChar"/>
    <w:uiPriority w:val="99"/>
    <w:semiHidden/>
    <w:unhideWhenUsed/>
    <w:rsid w:val="00574DEA"/>
    <w:pPr>
      <w:spacing w:line="240" w:lineRule="auto"/>
    </w:pPr>
    <w:rPr>
      <w:szCs w:val="20"/>
    </w:rPr>
  </w:style>
  <w:style w:type="character" w:customStyle="1" w:styleId="TekstkomentaraChar">
    <w:name w:val="Tekst komentara Char"/>
    <w:basedOn w:val="Zadanifontodlomka"/>
    <w:link w:val="Tekstkomentara"/>
    <w:uiPriority w:val="99"/>
    <w:semiHidden/>
    <w:rsid w:val="00574DEA"/>
    <w:rPr>
      <w:rFonts w:ascii="Tahoma" w:hAnsi="Tahoma"/>
      <w:sz w:val="20"/>
      <w:szCs w:val="20"/>
    </w:rPr>
  </w:style>
  <w:style w:type="paragraph" w:styleId="Predmetkomentara">
    <w:name w:val="annotation subject"/>
    <w:basedOn w:val="Tekstkomentara"/>
    <w:next w:val="Tekstkomentara"/>
    <w:link w:val="PredmetkomentaraChar"/>
    <w:uiPriority w:val="99"/>
    <w:semiHidden/>
    <w:unhideWhenUsed/>
    <w:rsid w:val="00574DEA"/>
    <w:rPr>
      <w:b/>
      <w:bCs/>
    </w:rPr>
  </w:style>
  <w:style w:type="character" w:customStyle="1" w:styleId="PredmetkomentaraChar">
    <w:name w:val="Predmet komentara Char"/>
    <w:basedOn w:val="TekstkomentaraChar"/>
    <w:link w:val="Predmetkomentara"/>
    <w:uiPriority w:val="99"/>
    <w:semiHidden/>
    <w:rsid w:val="00574DEA"/>
    <w:rPr>
      <w:rFonts w:ascii="Tahoma" w:hAnsi="Tahoma"/>
      <w:b/>
      <w:bCs/>
      <w:sz w:val="20"/>
      <w:szCs w:val="20"/>
    </w:rPr>
  </w:style>
  <w:style w:type="paragraph" w:styleId="Tekstbalonia">
    <w:name w:val="Balloon Text"/>
    <w:basedOn w:val="Normal"/>
    <w:link w:val="TekstbaloniaChar"/>
    <w:uiPriority w:val="99"/>
    <w:semiHidden/>
    <w:unhideWhenUsed/>
    <w:rsid w:val="00574DEA"/>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74DEA"/>
    <w:rPr>
      <w:rFonts w:ascii="Segoe UI" w:hAnsi="Segoe UI" w:cs="Segoe UI"/>
      <w:sz w:val="18"/>
      <w:szCs w:val="18"/>
    </w:rPr>
  </w:style>
  <w:style w:type="character" w:customStyle="1" w:styleId="Naslov3Char">
    <w:name w:val="Naslov 3 Char"/>
    <w:basedOn w:val="Zadanifontodlomka"/>
    <w:link w:val="Naslov3"/>
    <w:uiPriority w:val="9"/>
    <w:semiHidden/>
    <w:rsid w:val="00455CA1"/>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semiHidden/>
    <w:rsid w:val="00455CA1"/>
    <w:rPr>
      <w:rFonts w:asciiTheme="majorHAnsi" w:eastAsiaTheme="majorEastAsia" w:hAnsiTheme="majorHAnsi" w:cstheme="majorBidi"/>
      <w:i/>
      <w:iCs/>
      <w:color w:val="2E74B5" w:themeColor="accent1" w:themeShade="BF"/>
      <w:sz w:val="20"/>
    </w:rPr>
  </w:style>
  <w:style w:type="table" w:styleId="Reetkatablice">
    <w:name w:val="Table Grid"/>
    <w:basedOn w:val="Obinatablica"/>
    <w:uiPriority w:val="39"/>
    <w:rsid w:val="00455CA1"/>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455CA1"/>
    <w:rPr>
      <w:rFonts w:cs="Times New Roman"/>
      <w:color w:val="0563C1"/>
      <w:u w:val="single"/>
    </w:rPr>
  </w:style>
  <w:style w:type="paragraph" w:styleId="Grafikeoznake">
    <w:name w:val="List Bullet"/>
    <w:basedOn w:val="Normal"/>
    <w:uiPriority w:val="99"/>
    <w:rsid w:val="00455CA1"/>
    <w:pPr>
      <w:numPr>
        <w:numId w:val="12"/>
      </w:numPr>
      <w:spacing w:line="276" w:lineRule="auto"/>
    </w:pPr>
    <w:rPr>
      <w:rFonts w:ascii="Arial" w:eastAsia="Times New Roman" w:hAnsi="Arial" w:cs="Times New Roman"/>
      <w:sz w:val="22"/>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6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3804</Words>
  <Characters>21689</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2020-08-28T12:23:00Z</dcterms:created>
  <dcterms:modified xsi:type="dcterms:W3CDTF">2020-09-18T11:46:00Z</dcterms:modified>
</cp:coreProperties>
</file>