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EE39A" w14:textId="77777777" w:rsidR="003C00E9" w:rsidRPr="00B34CF2" w:rsidRDefault="003C00E9" w:rsidP="003C00E9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B34CF2">
        <w:rPr>
          <w:rFonts w:asciiTheme="minorHAnsi" w:eastAsia="Calibri" w:hAnsiTheme="minorHAnsi" w:cstheme="minorHAnsi"/>
          <w:noProof/>
          <w:sz w:val="22"/>
        </w:rPr>
        <w:t>REPUBLIKA HRVATSKA</w:t>
      </w:r>
    </w:p>
    <w:p w14:paraId="580099F6" w14:textId="2B6E3C1B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B34CF2">
        <w:rPr>
          <w:rFonts w:asciiTheme="minorHAnsi" w:eastAsia="Calibri" w:hAnsiTheme="minorHAnsi" w:cstheme="minorHAnsi"/>
          <w:noProof/>
          <w:sz w:val="22"/>
        </w:rPr>
        <w:t>Šibensko-kninska županij</w:t>
      </w:r>
      <w:r w:rsidR="007D4DCB" w:rsidRPr="00B34CF2">
        <w:rPr>
          <w:rFonts w:asciiTheme="minorHAnsi" w:eastAsia="Calibri" w:hAnsiTheme="minorHAnsi" w:cstheme="minorHAnsi"/>
          <w:noProof/>
          <w:sz w:val="22"/>
        </w:rPr>
        <w:t>a</w:t>
      </w:r>
    </w:p>
    <w:p w14:paraId="2A1F65D5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noProof/>
          <w:sz w:val="22"/>
        </w:rPr>
      </w:pPr>
    </w:p>
    <w:p w14:paraId="119272B3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noProof/>
          <w:sz w:val="22"/>
        </w:rPr>
      </w:pPr>
      <w:r w:rsidRPr="00B34CF2">
        <w:rPr>
          <w:rFonts w:asciiTheme="minorHAnsi" w:eastAsia="Calibri" w:hAnsiTheme="minorHAnsi" w:cstheme="minorHAnsi"/>
          <w:b/>
          <w:noProof/>
          <w:sz w:val="22"/>
        </w:rPr>
        <w:t>Grad Drniš</w:t>
      </w:r>
    </w:p>
    <w:p w14:paraId="3A46FA18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noProof/>
          <w:sz w:val="22"/>
        </w:rPr>
      </w:pPr>
      <w:r w:rsidRPr="00B34CF2">
        <w:rPr>
          <w:rFonts w:asciiTheme="minorHAnsi" w:eastAsia="Calibri" w:hAnsiTheme="minorHAnsi" w:cstheme="minorHAnsi"/>
          <w:noProof/>
          <w:sz w:val="22"/>
        </w:rPr>
        <w:t>Trg kralja Tomislava 1</w:t>
      </w:r>
    </w:p>
    <w:p w14:paraId="4FF545FB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noProof/>
          <w:color w:val="000000"/>
          <w:sz w:val="22"/>
        </w:rPr>
      </w:pPr>
      <w:r w:rsidRPr="00B34CF2">
        <w:rPr>
          <w:rFonts w:asciiTheme="minorHAnsi" w:eastAsia="Calibri" w:hAnsiTheme="minorHAnsi" w:cstheme="minorHAnsi"/>
          <w:noProof/>
          <w:color w:val="000000"/>
          <w:sz w:val="22"/>
        </w:rPr>
        <w:t>22320 Drniš</w:t>
      </w:r>
    </w:p>
    <w:p w14:paraId="0F8A912B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color w:val="000000"/>
          <w:sz w:val="22"/>
        </w:rPr>
      </w:pPr>
      <w:r w:rsidRPr="00B34CF2">
        <w:rPr>
          <w:rFonts w:asciiTheme="minorHAnsi" w:eastAsia="Calibri" w:hAnsiTheme="minorHAnsi" w:cstheme="minorHAnsi"/>
          <w:color w:val="000000"/>
          <w:sz w:val="22"/>
        </w:rPr>
        <w:t>OIB: 38309740312</w:t>
      </w:r>
    </w:p>
    <w:p w14:paraId="51EFD013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2"/>
          <w:highlight w:val="yellow"/>
        </w:rPr>
      </w:pPr>
    </w:p>
    <w:p w14:paraId="780E3E3E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sz w:val="22"/>
        </w:rPr>
      </w:pPr>
      <w:r w:rsidRPr="00B34CF2">
        <w:rPr>
          <w:rFonts w:asciiTheme="minorHAnsi" w:eastAsia="Calibri" w:hAnsiTheme="minorHAnsi" w:cstheme="minorHAnsi"/>
          <w:sz w:val="22"/>
        </w:rPr>
        <w:t>(dalje u tekstu „Naručitelj“)</w:t>
      </w:r>
    </w:p>
    <w:p w14:paraId="5576CC74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</w:p>
    <w:p w14:paraId="366D9775" w14:textId="77777777" w:rsidR="00C10C8A" w:rsidRPr="00B34CF2" w:rsidRDefault="00C10C8A" w:rsidP="00C10C8A">
      <w:pPr>
        <w:rPr>
          <w:rFonts w:asciiTheme="minorHAnsi" w:eastAsia="Calibri" w:hAnsiTheme="minorHAnsi" w:cstheme="minorHAnsi"/>
          <w:b/>
          <w:bCs/>
          <w:sz w:val="22"/>
        </w:rPr>
      </w:pPr>
    </w:p>
    <w:p w14:paraId="25583900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  <w:r w:rsidRPr="00B34CF2">
        <w:rPr>
          <w:rFonts w:asciiTheme="minorHAnsi" w:eastAsia="Calibri" w:hAnsiTheme="minorHAnsi" w:cstheme="minorHAnsi"/>
          <w:b/>
          <w:bCs/>
          <w:sz w:val="22"/>
        </w:rPr>
        <w:t>Za projekt sufinanciran od EU</w:t>
      </w:r>
    </w:p>
    <w:p w14:paraId="448F7224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2"/>
        </w:rPr>
      </w:pPr>
    </w:p>
    <w:p w14:paraId="4E1AB14F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>POZIV NA DOSTAVU PONUDA</w:t>
      </w:r>
    </w:p>
    <w:p w14:paraId="7111028E" w14:textId="77777777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>U POSTUPKU JEDNOSTAVNE NABAVE</w:t>
      </w:r>
    </w:p>
    <w:p w14:paraId="349C0024" w14:textId="31C4031E" w:rsidR="00C10C8A" w:rsidRPr="00B34CF2" w:rsidRDefault="00C10C8A" w:rsidP="00C10C8A">
      <w:pPr>
        <w:jc w:val="center"/>
        <w:rPr>
          <w:rFonts w:asciiTheme="minorHAnsi" w:eastAsia="Calibri" w:hAnsiTheme="minorHAnsi" w:cstheme="minorHAnsi"/>
          <w:b/>
          <w:bCs/>
          <w:sz w:val="24"/>
          <w:szCs w:val="24"/>
        </w:rPr>
      </w:pPr>
      <w:r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ZA USLUGU </w:t>
      </w:r>
      <w:r w:rsidR="00B779EE"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>PROMIDŽBE I VIDLJIVOSTI</w:t>
      </w:r>
      <w:r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PROJEKTA SANACIJE </w:t>
      </w:r>
      <w:r w:rsidR="007D4DCB"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>ODLAGALIŠTA NEOPASNOG OTPADA</w:t>
      </w:r>
      <w:r w:rsidRPr="00B34CF2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 „MOSEĆ“ U GRADU DRNIŠU</w:t>
      </w:r>
    </w:p>
    <w:p w14:paraId="5B9ED5F3" w14:textId="77777777" w:rsidR="003C00E9" w:rsidRPr="00B34CF2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14:paraId="696FB83A" w14:textId="162B3BDE" w:rsidR="003C00E9" w:rsidRPr="00B34CF2" w:rsidRDefault="003C00E9" w:rsidP="003C00E9">
      <w:pPr>
        <w:jc w:val="center"/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 xml:space="preserve">PRILOG </w:t>
      </w:r>
      <w:r w:rsidR="00455CA1" w:rsidRPr="00B34CF2">
        <w:rPr>
          <w:rFonts w:asciiTheme="minorHAnsi" w:hAnsiTheme="minorHAnsi" w:cstheme="minorHAnsi"/>
          <w:b/>
          <w:sz w:val="22"/>
        </w:rPr>
        <w:t>2</w:t>
      </w:r>
      <w:r w:rsidRPr="00B34CF2">
        <w:rPr>
          <w:rFonts w:asciiTheme="minorHAnsi" w:hAnsiTheme="minorHAnsi" w:cstheme="minorHAnsi"/>
          <w:b/>
          <w:sz w:val="22"/>
        </w:rPr>
        <w:t xml:space="preserve"> – </w:t>
      </w:r>
      <w:r w:rsidR="00455CA1" w:rsidRPr="00B34CF2">
        <w:rPr>
          <w:rFonts w:asciiTheme="minorHAnsi" w:hAnsiTheme="minorHAnsi" w:cstheme="minorHAnsi"/>
          <w:b/>
          <w:sz w:val="22"/>
        </w:rPr>
        <w:t>Projektni zadatak</w:t>
      </w:r>
    </w:p>
    <w:p w14:paraId="6403463D" w14:textId="77777777" w:rsidR="003C00E9" w:rsidRPr="00B34CF2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14:paraId="7782BFF0" w14:textId="77777777" w:rsidR="003C00E9" w:rsidRPr="00B34CF2" w:rsidRDefault="003C00E9" w:rsidP="003C00E9">
      <w:pPr>
        <w:jc w:val="center"/>
        <w:rPr>
          <w:rFonts w:asciiTheme="minorHAnsi" w:hAnsiTheme="minorHAnsi" w:cstheme="minorHAnsi"/>
          <w:sz w:val="22"/>
        </w:rPr>
      </w:pPr>
    </w:p>
    <w:p w14:paraId="68E447A5" w14:textId="77777777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14:paraId="189D7902" w14:textId="77777777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14:paraId="3186E560" w14:textId="55D499F9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sz w:val="22"/>
        </w:rPr>
      </w:pPr>
    </w:p>
    <w:p w14:paraId="5823D8B2" w14:textId="77777777" w:rsidR="00C10C8A" w:rsidRPr="00B34CF2" w:rsidRDefault="00C10C8A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14:paraId="53771C95" w14:textId="77777777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14:paraId="1B906D27" w14:textId="77777777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14:paraId="0EB82FA9" w14:textId="77777777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14:paraId="4B092C9A" w14:textId="77777777" w:rsidR="003C00E9" w:rsidRPr="00B34CF2" w:rsidRDefault="003C00E9" w:rsidP="003C00E9">
      <w:pPr>
        <w:jc w:val="center"/>
        <w:rPr>
          <w:rFonts w:asciiTheme="minorHAnsi" w:eastAsia="Times New Roman" w:hAnsiTheme="minorHAnsi" w:cstheme="minorHAnsi"/>
          <w:color w:val="FF0000"/>
          <w:sz w:val="22"/>
        </w:rPr>
      </w:pPr>
    </w:p>
    <w:p w14:paraId="3A00F15A" w14:textId="67EA11C2" w:rsidR="003C00E9" w:rsidRPr="00B34CF2" w:rsidRDefault="00C10C8A" w:rsidP="002E435A">
      <w:pPr>
        <w:jc w:val="center"/>
        <w:rPr>
          <w:rFonts w:asciiTheme="minorHAnsi" w:hAnsiTheme="minorHAnsi" w:cstheme="minorHAnsi"/>
          <w:color w:val="FF0000"/>
          <w:sz w:val="22"/>
        </w:rPr>
        <w:sectPr w:rsidR="003C00E9" w:rsidRPr="00B34CF2" w:rsidSect="00B230CD">
          <w:headerReference w:type="default" r:id="rId7"/>
          <w:footerReference w:type="default" r:id="rId8"/>
          <w:footerReference w:type="first" r:id="rId9"/>
          <w:pgSz w:w="11906" w:h="16838"/>
          <w:pgMar w:top="1418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B34CF2">
        <w:rPr>
          <w:rFonts w:asciiTheme="minorHAnsi" w:hAnsiTheme="minorHAnsi" w:cstheme="minorHAnsi"/>
          <w:sz w:val="22"/>
        </w:rPr>
        <w:t>Drniš</w:t>
      </w:r>
      <w:r w:rsidR="003C00E9" w:rsidRPr="00B34CF2">
        <w:rPr>
          <w:rFonts w:asciiTheme="minorHAnsi" w:hAnsiTheme="minorHAnsi" w:cstheme="minorHAnsi"/>
          <w:sz w:val="22"/>
        </w:rPr>
        <w:t>,</w:t>
      </w:r>
      <w:r w:rsidR="002E435A" w:rsidRPr="00B34CF2">
        <w:rPr>
          <w:rFonts w:asciiTheme="minorHAnsi" w:hAnsiTheme="minorHAnsi" w:cstheme="minorHAnsi"/>
          <w:sz w:val="22"/>
        </w:rPr>
        <w:t xml:space="preserve"> srpanj 2020.godine</w:t>
      </w:r>
    </w:p>
    <w:p w14:paraId="273FCF57" w14:textId="54BB728C" w:rsidR="00455CA1" w:rsidRPr="00B34CF2" w:rsidRDefault="00C10C8A" w:rsidP="00C10C8A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lastRenderedPageBreak/>
        <w:t>Uvod</w:t>
      </w:r>
    </w:p>
    <w:p w14:paraId="5601F9E5" w14:textId="08F6D134" w:rsidR="00455CA1" w:rsidRPr="00B34CF2" w:rsidRDefault="00C10C8A" w:rsidP="00455CA1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Projekt sanacije </w:t>
      </w:r>
      <w:r w:rsidR="007D4DCB" w:rsidRPr="00B34CF2">
        <w:rPr>
          <w:rFonts w:asciiTheme="minorHAnsi" w:hAnsiTheme="minorHAnsi" w:cstheme="minorHAnsi"/>
          <w:sz w:val="22"/>
        </w:rPr>
        <w:t>odlagališta neopasnog otpada</w:t>
      </w:r>
      <w:r w:rsidRPr="00B34CF2">
        <w:rPr>
          <w:rFonts w:asciiTheme="minorHAnsi" w:hAnsiTheme="minorHAnsi" w:cstheme="minorHAnsi"/>
          <w:sz w:val="22"/>
        </w:rPr>
        <w:t xml:space="preserve">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>“ u Gradu Drnišu provodi se kroz Operativni program Konkurentnost i kohezija 2014.-2020 te je sufinanciran bespovratnim sredstvima iz Europske unije. Projekt će se provoditi sukladno Ugovoru o bespovratnim sredstvima (referentni broj ugovora KK.</w:t>
      </w:r>
      <w:r w:rsidR="002E435A" w:rsidRPr="00B34CF2">
        <w:rPr>
          <w:rFonts w:asciiTheme="minorHAnsi" w:eastAsia="Calibri" w:hAnsiTheme="minorHAnsi" w:cstheme="minorHAnsi"/>
          <w:sz w:val="22"/>
        </w:rPr>
        <w:t>06.3.1.13.0002</w:t>
      </w:r>
      <w:r w:rsidRPr="00B34CF2">
        <w:rPr>
          <w:rFonts w:asciiTheme="minorHAnsi" w:eastAsia="Calibri" w:hAnsiTheme="minorHAnsi" w:cstheme="minorHAnsi"/>
          <w:sz w:val="22"/>
        </w:rPr>
        <w:t xml:space="preserve">) </w:t>
      </w:r>
      <w:r w:rsidRPr="00B34CF2">
        <w:rPr>
          <w:rFonts w:asciiTheme="minorHAnsi" w:hAnsiTheme="minorHAnsi" w:cstheme="minorHAnsi"/>
          <w:sz w:val="22"/>
        </w:rPr>
        <w:t>koji su potpisali Grad Drniš (Korisnik), Ministarstvo zaštite okoliša i energetike (PT1) i Fond za zaštitu okoliša i energetsku učinkovitost (PT2).</w:t>
      </w:r>
      <w:r w:rsidR="002E435A" w:rsidRPr="00B34CF2">
        <w:rPr>
          <w:rFonts w:asciiTheme="minorHAnsi" w:hAnsiTheme="minorHAnsi" w:cstheme="minorHAnsi"/>
          <w:sz w:val="22"/>
        </w:rPr>
        <w:t xml:space="preserve"> Rok za završetak svih projektnih aktivnosti je 10. listopada 2021. godine. </w:t>
      </w:r>
      <w:r w:rsidRPr="00B34CF2">
        <w:rPr>
          <w:rFonts w:asciiTheme="minorHAnsi" w:hAnsiTheme="minorHAnsi" w:cstheme="minorHAnsi"/>
          <w:sz w:val="22"/>
        </w:rPr>
        <w:t>Navedeni predmet nabave podliježe kontroli Posredničkog tijela razine 2.</w:t>
      </w:r>
    </w:p>
    <w:p w14:paraId="4CBB888C" w14:textId="77777777" w:rsidR="0037516C" w:rsidRPr="00B34CF2" w:rsidRDefault="0037516C" w:rsidP="00C10C8A">
      <w:pPr>
        <w:rPr>
          <w:rFonts w:asciiTheme="minorHAnsi" w:hAnsiTheme="minorHAnsi" w:cstheme="minorHAnsi"/>
          <w:b/>
          <w:sz w:val="22"/>
        </w:rPr>
      </w:pPr>
    </w:p>
    <w:p w14:paraId="24DCB65C" w14:textId="6EBFBCD1" w:rsidR="00455CA1" w:rsidRPr="00B34CF2" w:rsidRDefault="00455CA1" w:rsidP="00C10C8A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>Osnovni podaci o odlagalištu</w:t>
      </w:r>
    </w:p>
    <w:p w14:paraId="424CBE0A" w14:textId="77777777" w:rsidR="00455CA1" w:rsidRPr="00B34CF2" w:rsidRDefault="00455CA1" w:rsidP="00455CA1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>Postojeće stanje</w:t>
      </w:r>
    </w:p>
    <w:p w14:paraId="521EAE79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Odlagalište otpada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 xml:space="preserve">“ je neuređeno odlagalište otpada Grada Drniša. </w:t>
      </w:r>
    </w:p>
    <w:p w14:paraId="15235E93" w14:textId="0506C513" w:rsidR="00455CA1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Smješteno je u Šibensko-kninskoj županiji i području Grada Drniša na katastarskoj čestici k.č.br.: 423/27, k.o. Drniš, koja je u vlasništvu Republike Hrvatske.</w:t>
      </w:r>
    </w:p>
    <w:p w14:paraId="18EACC06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Na odlagalištu se otpad odlagao od 1970. godine. Tijekom rata, područje na kojem se nalazi odlagalište je bilo okupirano, tako da se otpad u razdoblju od 1991. do 1995. godine na prostoru odlagališta nije odlagao. Nakon rata nastavljeno je odlaganje otpada na lokaciji odlagališta sve do 26. ožujka 2019., nakon čega je donesena Odluka o zatvaranju i sanaciji odlagališta neopasnog (komunalnog) otpada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>“ u Drnišu (KLASA: 363-01/19-016, URBROJ: 2182/06-01/19-10/1). Otpad se danas odvozi na odlagalište otpada „</w:t>
      </w:r>
      <w:proofErr w:type="spellStart"/>
      <w:r w:rsidRPr="00B34CF2">
        <w:rPr>
          <w:rFonts w:asciiTheme="minorHAnsi" w:hAnsiTheme="minorHAnsi" w:cstheme="minorHAnsi"/>
          <w:sz w:val="22"/>
        </w:rPr>
        <w:t>Bikarac</w:t>
      </w:r>
      <w:proofErr w:type="spellEnd"/>
      <w:r w:rsidRPr="00B34CF2">
        <w:rPr>
          <w:rFonts w:asciiTheme="minorHAnsi" w:hAnsiTheme="minorHAnsi" w:cstheme="minorHAnsi"/>
          <w:sz w:val="22"/>
        </w:rPr>
        <w:t>“.</w:t>
      </w:r>
    </w:p>
    <w:p w14:paraId="6FC31116" w14:textId="54453C83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Odlagalište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>“ se rasprostire na površini od oko 13.600 m</w:t>
      </w:r>
      <w:r w:rsidRPr="00B34CF2">
        <w:rPr>
          <w:rFonts w:asciiTheme="minorHAnsi" w:hAnsiTheme="minorHAnsi" w:cstheme="minorHAnsi"/>
          <w:sz w:val="22"/>
          <w:vertAlign w:val="superscript"/>
        </w:rPr>
        <w:t>2</w:t>
      </w:r>
      <w:r w:rsidRPr="00B34CF2">
        <w:rPr>
          <w:rFonts w:asciiTheme="minorHAnsi" w:hAnsiTheme="minorHAnsi" w:cstheme="minorHAnsi"/>
          <w:sz w:val="22"/>
        </w:rPr>
        <w:t>, od čega je pod otpadom površina od oko 12.100 m</w:t>
      </w:r>
      <w:r w:rsidRPr="00B34CF2">
        <w:rPr>
          <w:rFonts w:asciiTheme="minorHAnsi" w:hAnsiTheme="minorHAnsi" w:cstheme="minorHAnsi"/>
          <w:sz w:val="22"/>
          <w:vertAlign w:val="superscript"/>
        </w:rPr>
        <w:t>2</w:t>
      </w:r>
      <w:r w:rsidRPr="00B34CF2">
        <w:rPr>
          <w:rFonts w:asciiTheme="minorHAnsi" w:hAnsiTheme="minorHAnsi" w:cstheme="minorHAnsi"/>
          <w:sz w:val="22"/>
        </w:rPr>
        <w:t xml:space="preserve">. Do ožujka 2018. godine, kada su provedeni istražni radovi za potrebe sanacije i zatvaranja odlagališta, na lokaciji </w:t>
      </w:r>
      <w:r w:rsidR="007D4DCB" w:rsidRPr="00B34CF2">
        <w:rPr>
          <w:rFonts w:asciiTheme="minorHAnsi" w:hAnsiTheme="minorHAnsi" w:cstheme="minorHAnsi"/>
          <w:sz w:val="22"/>
        </w:rPr>
        <w:t>odlagališta neopasnog otpada</w:t>
      </w:r>
      <w:r w:rsidRPr="00B34CF2">
        <w:rPr>
          <w:rFonts w:asciiTheme="minorHAnsi" w:hAnsiTheme="minorHAnsi" w:cstheme="minorHAnsi"/>
          <w:sz w:val="22"/>
        </w:rPr>
        <w:t xml:space="preserve">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>“ bilo je odloženo oko 72.500 m</w:t>
      </w:r>
      <w:r w:rsidRPr="00B34CF2">
        <w:rPr>
          <w:rFonts w:asciiTheme="minorHAnsi" w:hAnsiTheme="minorHAnsi" w:cstheme="minorHAnsi"/>
          <w:sz w:val="22"/>
          <w:vertAlign w:val="superscript"/>
        </w:rPr>
        <w:t>3</w:t>
      </w:r>
      <w:r w:rsidRPr="00B34CF2">
        <w:rPr>
          <w:rFonts w:asciiTheme="minorHAnsi" w:hAnsiTheme="minorHAnsi" w:cstheme="minorHAnsi"/>
          <w:sz w:val="22"/>
        </w:rPr>
        <w:t xml:space="preserve"> otpada.</w:t>
      </w:r>
    </w:p>
    <w:p w14:paraId="01D4ACFE" w14:textId="56FEB429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Odlagalište otpada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 xml:space="preserve">“ ne udovoljava odredbama Pravilnika o načinima i uvjetima odlaganja otpada, kategorijama i uvjetima rada za </w:t>
      </w:r>
      <w:r w:rsidR="007D4DCB" w:rsidRPr="00B34CF2">
        <w:rPr>
          <w:rFonts w:asciiTheme="minorHAnsi" w:hAnsiTheme="minorHAnsi" w:cstheme="minorHAnsi"/>
          <w:sz w:val="22"/>
        </w:rPr>
        <w:t>odlagališta neopasnog otpada</w:t>
      </w:r>
      <w:r w:rsidRPr="00B34CF2">
        <w:rPr>
          <w:rFonts w:asciiTheme="minorHAnsi" w:hAnsiTheme="minorHAnsi" w:cstheme="minorHAnsi"/>
          <w:sz w:val="22"/>
        </w:rPr>
        <w:t xml:space="preserve"> (NN 114/15, 103/18 i 56/19 – Ispravak). Otpad se odlagao na neuređenu površinu, odnosno na samom odlagalištu nema osnovne infrastrukture (temeljnog brtvenog sustava sa prikupljanjem </w:t>
      </w:r>
      <w:proofErr w:type="spellStart"/>
      <w:r w:rsidRPr="00B34CF2">
        <w:rPr>
          <w:rFonts w:asciiTheme="minorHAnsi" w:hAnsiTheme="minorHAnsi" w:cstheme="minorHAnsi"/>
          <w:sz w:val="22"/>
        </w:rPr>
        <w:t>procjednih</w:t>
      </w:r>
      <w:proofErr w:type="spellEnd"/>
      <w:r w:rsidRPr="00B34CF2">
        <w:rPr>
          <w:rFonts w:asciiTheme="minorHAnsi" w:hAnsiTheme="minorHAnsi" w:cstheme="minorHAnsi"/>
          <w:sz w:val="22"/>
        </w:rPr>
        <w:t xml:space="preserve"> voda, odvodnje oborinskih voda, otplinjavanja, struje, vode itd.). Također, ne provodi se nikakvo zbijanje i prekrivanje odloženog otpada inertnim materijalom.</w:t>
      </w:r>
    </w:p>
    <w:p w14:paraId="56FD4C1C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 obzirom na navedeno, odlagalište je potrebno sanirati kako bi se uskladilo s važećom zakonskom regulativom i kako bi se spriječili daljnji negativni utjecaji na okoliš.</w:t>
      </w:r>
    </w:p>
    <w:p w14:paraId="4E5DC516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Sanacija odlagališta obuhvatit će iskop i premještanje dijela otpada, preoblikovanje otpada prema projektnoj definiranoj geometriji, prekrivanje preoblikovanog otpada završnim prekrivnim sustavom, izgradnju sustava za prikupljanje i odvodnju oborinskih voda, izgradnja sustava pasivnog otplinjavanja, izgradnja interne makadamske prometnice, izgradnja ograde oko prostora odlagališta i ulaznih vrata, te krajobrazno uređenje prostora odlagališta.</w:t>
      </w:r>
    </w:p>
    <w:p w14:paraId="7E5EB195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Cjelokupni obuhvat zahvata sanacije odlagališta zauzimat će površinu od oko 17.454 m</w:t>
      </w:r>
      <w:r w:rsidRPr="00B34CF2">
        <w:rPr>
          <w:rFonts w:asciiTheme="minorHAnsi" w:hAnsiTheme="minorHAnsi" w:cstheme="minorHAnsi"/>
          <w:sz w:val="22"/>
          <w:vertAlign w:val="superscript"/>
        </w:rPr>
        <w:t>2</w:t>
      </w:r>
      <w:r w:rsidRPr="00B34CF2">
        <w:rPr>
          <w:rFonts w:asciiTheme="minorHAnsi" w:hAnsiTheme="minorHAnsi" w:cstheme="minorHAnsi"/>
          <w:sz w:val="22"/>
        </w:rPr>
        <w:t>. U navedenu površinu uključena je sanirana površina postojećeg odlagališta (otpad prekriven završnim prekrivnim sustavom površine 12.382 m</w:t>
      </w:r>
      <w:r w:rsidRPr="00B34CF2">
        <w:rPr>
          <w:rFonts w:asciiTheme="minorHAnsi" w:hAnsiTheme="minorHAnsi" w:cstheme="minorHAnsi"/>
          <w:sz w:val="22"/>
          <w:vertAlign w:val="superscript"/>
        </w:rPr>
        <w:t>2</w:t>
      </w:r>
      <w:r w:rsidRPr="00B34CF2">
        <w:rPr>
          <w:rFonts w:asciiTheme="minorHAnsi" w:hAnsiTheme="minorHAnsi" w:cstheme="minorHAnsi"/>
          <w:sz w:val="22"/>
        </w:rPr>
        <w:t xml:space="preserve"> bez obodnog kanala), te sve manipulativne i ostale površine unutar granica zahvata odlagališta. Procijenjena količina otpada koja se nalazi na odlagalištu iznosi oko 74.500 m</w:t>
      </w:r>
      <w:r w:rsidRPr="00B34CF2">
        <w:rPr>
          <w:rFonts w:asciiTheme="minorHAnsi" w:hAnsiTheme="minorHAnsi" w:cstheme="minorHAnsi"/>
          <w:sz w:val="22"/>
          <w:vertAlign w:val="superscript"/>
        </w:rPr>
        <w:t>3</w:t>
      </w:r>
      <w:r w:rsidRPr="00B34CF2">
        <w:rPr>
          <w:rFonts w:asciiTheme="minorHAnsi" w:hAnsiTheme="minorHAnsi" w:cstheme="minorHAnsi"/>
          <w:sz w:val="22"/>
        </w:rPr>
        <w:t>.</w:t>
      </w:r>
    </w:p>
    <w:p w14:paraId="11CFA41B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lastRenderedPageBreak/>
        <w:t xml:space="preserve">Na ostatku površine izvest će se svi potrebni objekti za upravljanje i održavanje saniranog odlagališta kao što su prometne površine, sustav za prikupljanje oborinskih voda, sustav za otplinjavanje, krajobrazno uređenje prostora odlagališta, ograda oko prostora odlagališta, ulaz i drugo. </w:t>
      </w:r>
    </w:p>
    <w:p w14:paraId="65D766C4" w14:textId="77777777" w:rsidR="006A436C" w:rsidRPr="00B34CF2" w:rsidRDefault="006A436C" w:rsidP="006A436C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U svrhu utvrđivanja točnih količina i granica rasprostiranja otpada, prilikom sanacije izvest će se probni </w:t>
      </w:r>
      <w:proofErr w:type="spellStart"/>
      <w:r w:rsidRPr="00B34CF2">
        <w:rPr>
          <w:rFonts w:asciiTheme="minorHAnsi" w:hAnsiTheme="minorHAnsi" w:cstheme="minorHAnsi"/>
          <w:sz w:val="22"/>
        </w:rPr>
        <w:t>raskopi</w:t>
      </w:r>
      <w:proofErr w:type="spellEnd"/>
      <w:r w:rsidRPr="00B34CF2">
        <w:rPr>
          <w:rFonts w:asciiTheme="minorHAnsi" w:hAnsiTheme="minorHAnsi" w:cstheme="minorHAnsi"/>
          <w:sz w:val="22"/>
        </w:rPr>
        <w:t xml:space="preserve"> na više mjesta unutar i van granice obuhvata zahvata. Prema stvarno utvrđenim količinama otpada na terenu i granicama rasprostiranja otpada kroz projektantski nadzor korigirat će se predloženo rješenje na način da se predviđena tlocrtna površina i konačna visina odlagališta poveća ili smanji.</w:t>
      </w:r>
    </w:p>
    <w:p w14:paraId="35753B1C" w14:textId="6BA1E9ED" w:rsidR="00455CA1" w:rsidRPr="00B34CF2" w:rsidRDefault="00455CA1" w:rsidP="00455CA1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U </w:t>
      </w:r>
      <w:r w:rsidR="006A436C" w:rsidRPr="00B34CF2">
        <w:rPr>
          <w:rFonts w:asciiTheme="minorHAnsi" w:hAnsiTheme="minorHAnsi" w:cstheme="minorHAnsi"/>
          <w:sz w:val="22"/>
        </w:rPr>
        <w:t>prosincu</w:t>
      </w:r>
      <w:r w:rsidRPr="00B34CF2">
        <w:rPr>
          <w:rFonts w:asciiTheme="minorHAnsi" w:hAnsiTheme="minorHAnsi" w:cstheme="minorHAnsi"/>
          <w:sz w:val="22"/>
        </w:rPr>
        <w:t xml:space="preserve"> 2018. godine izrađen je Glavni projekt sanacije </w:t>
      </w:r>
      <w:r w:rsidR="006A436C" w:rsidRPr="00B34CF2">
        <w:rPr>
          <w:rFonts w:asciiTheme="minorHAnsi" w:hAnsiTheme="minorHAnsi" w:cstheme="minorHAnsi"/>
          <w:sz w:val="22"/>
        </w:rPr>
        <w:t>i</w:t>
      </w:r>
      <w:r w:rsidRPr="00B34CF2">
        <w:rPr>
          <w:rFonts w:asciiTheme="minorHAnsi" w:hAnsiTheme="minorHAnsi" w:cstheme="minorHAnsi"/>
          <w:sz w:val="22"/>
        </w:rPr>
        <w:t xml:space="preserve"> </w:t>
      </w:r>
      <w:r w:rsidR="006A436C" w:rsidRPr="00B34CF2">
        <w:rPr>
          <w:rFonts w:asciiTheme="minorHAnsi" w:hAnsiTheme="minorHAnsi" w:cstheme="minorHAnsi"/>
          <w:sz w:val="22"/>
        </w:rPr>
        <w:t xml:space="preserve">zatvaranja </w:t>
      </w:r>
      <w:r w:rsidR="007D4DCB" w:rsidRPr="00B34CF2">
        <w:rPr>
          <w:rFonts w:asciiTheme="minorHAnsi" w:hAnsiTheme="minorHAnsi" w:cstheme="minorHAnsi"/>
          <w:sz w:val="22"/>
        </w:rPr>
        <w:t>odlagališta neopasnog otpada</w:t>
      </w:r>
      <w:r w:rsidRPr="00B34CF2">
        <w:rPr>
          <w:rFonts w:asciiTheme="minorHAnsi" w:hAnsiTheme="minorHAnsi" w:cstheme="minorHAnsi"/>
          <w:sz w:val="22"/>
        </w:rPr>
        <w:t xml:space="preserve"> </w:t>
      </w:r>
      <w:r w:rsidR="006A436C" w:rsidRPr="00B34CF2">
        <w:rPr>
          <w:rFonts w:asciiTheme="minorHAnsi" w:hAnsiTheme="minorHAnsi" w:cstheme="minorHAnsi"/>
          <w:sz w:val="22"/>
        </w:rPr>
        <w:t>„</w:t>
      </w:r>
      <w:proofErr w:type="spellStart"/>
      <w:r w:rsidR="006A436C" w:rsidRPr="00B34CF2">
        <w:rPr>
          <w:rFonts w:asciiTheme="minorHAnsi" w:hAnsiTheme="minorHAnsi" w:cstheme="minorHAnsi"/>
          <w:sz w:val="22"/>
        </w:rPr>
        <w:t>Moseć</w:t>
      </w:r>
      <w:proofErr w:type="spellEnd"/>
      <w:r w:rsidR="006A436C" w:rsidRPr="00B34CF2">
        <w:rPr>
          <w:rFonts w:asciiTheme="minorHAnsi" w:hAnsiTheme="minorHAnsi" w:cstheme="minorHAnsi"/>
          <w:sz w:val="22"/>
        </w:rPr>
        <w:t>“, Grad Drniš</w:t>
      </w:r>
      <w:r w:rsidRPr="00B34CF2">
        <w:rPr>
          <w:rFonts w:asciiTheme="minorHAnsi" w:hAnsiTheme="minorHAnsi" w:cstheme="minorHAnsi"/>
          <w:sz w:val="22"/>
        </w:rPr>
        <w:t>. Temeljen Glavnog projekta ishođena je Građevinska dozvola (</w:t>
      </w:r>
      <w:r w:rsidR="006A436C" w:rsidRPr="00B34CF2">
        <w:rPr>
          <w:rFonts w:asciiTheme="minorHAnsi" w:hAnsiTheme="minorHAnsi" w:cstheme="minorHAnsi"/>
          <w:sz w:val="22"/>
        </w:rPr>
        <w:t>KLASA: UP/I-361-03/19-01/000054, URBROJ: 2182/1-16/2-19-0006</w:t>
      </w:r>
      <w:r w:rsidRPr="00B34CF2">
        <w:rPr>
          <w:rFonts w:asciiTheme="minorHAnsi" w:hAnsiTheme="minorHAnsi" w:cstheme="minorHAnsi"/>
          <w:sz w:val="22"/>
        </w:rPr>
        <w:t xml:space="preserve">, od </w:t>
      </w:r>
      <w:r w:rsidR="006A436C" w:rsidRPr="00B34CF2">
        <w:rPr>
          <w:rFonts w:asciiTheme="minorHAnsi" w:hAnsiTheme="minorHAnsi" w:cstheme="minorHAnsi"/>
          <w:sz w:val="22"/>
        </w:rPr>
        <w:t>25</w:t>
      </w:r>
      <w:r w:rsidRPr="00B34CF2">
        <w:rPr>
          <w:rFonts w:asciiTheme="minorHAnsi" w:hAnsiTheme="minorHAnsi" w:cstheme="minorHAnsi"/>
          <w:sz w:val="22"/>
        </w:rPr>
        <w:t>.</w:t>
      </w:r>
      <w:r w:rsidR="006A436C" w:rsidRPr="00B34CF2">
        <w:rPr>
          <w:rFonts w:asciiTheme="minorHAnsi" w:hAnsiTheme="minorHAnsi" w:cstheme="minorHAnsi"/>
          <w:sz w:val="22"/>
        </w:rPr>
        <w:t>10</w:t>
      </w:r>
      <w:r w:rsidRPr="00B34CF2">
        <w:rPr>
          <w:rFonts w:asciiTheme="minorHAnsi" w:hAnsiTheme="minorHAnsi" w:cstheme="minorHAnsi"/>
          <w:sz w:val="22"/>
        </w:rPr>
        <w:t xml:space="preserve">.2018.), pravomoćna od </w:t>
      </w:r>
      <w:r w:rsidR="006A436C" w:rsidRPr="00B34CF2">
        <w:rPr>
          <w:rFonts w:asciiTheme="minorHAnsi" w:hAnsiTheme="minorHAnsi" w:cstheme="minorHAnsi"/>
          <w:sz w:val="22"/>
        </w:rPr>
        <w:t>28</w:t>
      </w:r>
      <w:r w:rsidRPr="00B34CF2">
        <w:rPr>
          <w:rFonts w:asciiTheme="minorHAnsi" w:hAnsiTheme="minorHAnsi" w:cstheme="minorHAnsi"/>
          <w:sz w:val="22"/>
        </w:rPr>
        <w:t>.</w:t>
      </w:r>
      <w:r w:rsidR="006A436C" w:rsidRPr="00B34CF2">
        <w:rPr>
          <w:rFonts w:asciiTheme="minorHAnsi" w:hAnsiTheme="minorHAnsi" w:cstheme="minorHAnsi"/>
          <w:sz w:val="22"/>
        </w:rPr>
        <w:t>10</w:t>
      </w:r>
      <w:r w:rsidRPr="00B34CF2">
        <w:rPr>
          <w:rFonts w:asciiTheme="minorHAnsi" w:hAnsiTheme="minorHAnsi" w:cstheme="minorHAnsi"/>
          <w:sz w:val="22"/>
        </w:rPr>
        <w:t>.2018.</w:t>
      </w:r>
    </w:p>
    <w:p w14:paraId="2C5555F1" w14:textId="77777777" w:rsidR="0037516C" w:rsidRPr="00B34CF2" w:rsidRDefault="0037516C" w:rsidP="00455CA1">
      <w:pPr>
        <w:rPr>
          <w:rFonts w:asciiTheme="minorHAnsi" w:hAnsiTheme="minorHAnsi" w:cstheme="minorHAnsi"/>
          <w:b/>
          <w:sz w:val="22"/>
        </w:rPr>
      </w:pPr>
    </w:p>
    <w:p w14:paraId="6D69607C" w14:textId="6497DEB8" w:rsidR="00455CA1" w:rsidRPr="00B34CF2" w:rsidRDefault="00B779EE" w:rsidP="00455CA1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 xml:space="preserve">Projekt sanacije </w:t>
      </w:r>
      <w:r w:rsidR="00EE6FAD" w:rsidRPr="00B34CF2">
        <w:rPr>
          <w:rFonts w:asciiTheme="minorHAnsi" w:hAnsiTheme="minorHAnsi" w:cstheme="minorHAnsi"/>
          <w:b/>
          <w:sz w:val="22"/>
        </w:rPr>
        <w:t>odlagališta</w:t>
      </w:r>
    </w:p>
    <w:p w14:paraId="16946744" w14:textId="0FFF9189" w:rsidR="00B779EE" w:rsidRPr="00B34CF2" w:rsidRDefault="00B779EE" w:rsidP="00B779EE">
      <w:pPr>
        <w:rPr>
          <w:rFonts w:asciiTheme="minorHAnsi" w:hAnsiTheme="minorHAnsi" w:cstheme="minorHAnsi"/>
          <w:sz w:val="22"/>
        </w:rPr>
      </w:pPr>
      <w:bookmarkStart w:id="0" w:name="_Ref28611055"/>
      <w:r w:rsidRPr="00B34CF2">
        <w:rPr>
          <w:rFonts w:asciiTheme="minorHAnsi" w:hAnsiTheme="minorHAnsi" w:cstheme="minorHAnsi"/>
          <w:sz w:val="22"/>
        </w:rPr>
        <w:t xml:space="preserve">Projekt sanacije </w:t>
      </w:r>
      <w:r w:rsidR="007D4DCB" w:rsidRPr="00B34CF2">
        <w:rPr>
          <w:rFonts w:asciiTheme="minorHAnsi" w:hAnsiTheme="minorHAnsi" w:cstheme="minorHAnsi"/>
          <w:sz w:val="22"/>
        </w:rPr>
        <w:t>odlagališta neopasnog otpada</w:t>
      </w:r>
      <w:r w:rsidRPr="00B34CF2">
        <w:rPr>
          <w:rFonts w:asciiTheme="minorHAnsi" w:hAnsiTheme="minorHAnsi" w:cstheme="minorHAnsi"/>
          <w:sz w:val="22"/>
        </w:rPr>
        <w:t xml:space="preserve"> „</w:t>
      </w:r>
      <w:proofErr w:type="spellStart"/>
      <w:r w:rsidRPr="00B34CF2">
        <w:rPr>
          <w:rFonts w:asciiTheme="minorHAnsi" w:hAnsiTheme="minorHAnsi" w:cstheme="minorHAnsi"/>
          <w:sz w:val="22"/>
        </w:rPr>
        <w:t>Moseć</w:t>
      </w:r>
      <w:proofErr w:type="spellEnd"/>
      <w:r w:rsidRPr="00B34CF2">
        <w:rPr>
          <w:rFonts w:asciiTheme="minorHAnsi" w:hAnsiTheme="minorHAnsi" w:cstheme="minorHAnsi"/>
          <w:sz w:val="22"/>
        </w:rPr>
        <w:t>“ u Gradu Drnišu provodit će se kroz sljedeće Ugovore:</w:t>
      </w:r>
    </w:p>
    <w:p w14:paraId="7200CA4D" w14:textId="77777777" w:rsidR="00B779EE" w:rsidRPr="00B34CF2" w:rsidRDefault="00B779EE" w:rsidP="00B779EE">
      <w:pPr>
        <w:pStyle w:val="Odlomakpopisa"/>
        <w:numPr>
          <w:ilvl w:val="0"/>
          <w:numId w:val="1"/>
        </w:numPr>
        <w:spacing w:before="0"/>
        <w:rPr>
          <w:rFonts w:asciiTheme="minorHAnsi" w:hAnsiTheme="minorHAnsi" w:cstheme="minorHAnsi"/>
          <w:i/>
          <w:sz w:val="22"/>
        </w:rPr>
      </w:pPr>
      <w:r w:rsidRPr="00B34CF2">
        <w:rPr>
          <w:rFonts w:asciiTheme="minorHAnsi" w:hAnsiTheme="minorHAnsi" w:cstheme="minorHAnsi"/>
          <w:i/>
          <w:sz w:val="22"/>
        </w:rPr>
        <w:t>Ugovor za uslugu promidžbe i vidljivosti projekta (ovaj ugovor)</w:t>
      </w:r>
    </w:p>
    <w:p w14:paraId="564A6907" w14:textId="2AB5418F" w:rsidR="00B779EE" w:rsidRPr="00B34CF2" w:rsidRDefault="00B779EE" w:rsidP="00B779EE">
      <w:pPr>
        <w:pStyle w:val="Odlomakpopisa"/>
        <w:numPr>
          <w:ilvl w:val="0"/>
          <w:numId w:val="1"/>
        </w:numPr>
        <w:spacing w:before="0"/>
        <w:rPr>
          <w:rFonts w:asciiTheme="minorHAnsi" w:hAnsiTheme="minorHAnsi" w:cstheme="minorHAnsi"/>
          <w:i/>
          <w:sz w:val="22"/>
        </w:rPr>
      </w:pPr>
      <w:r w:rsidRPr="00B34CF2">
        <w:rPr>
          <w:rFonts w:asciiTheme="minorHAnsi" w:hAnsiTheme="minorHAnsi" w:cstheme="minorHAnsi"/>
          <w:i/>
          <w:sz w:val="22"/>
        </w:rPr>
        <w:t xml:space="preserve">Ugovor za uslugu upravljanja projektom i tehničke pomoći tijekom provedbe projekta </w:t>
      </w:r>
    </w:p>
    <w:p w14:paraId="7FAC1CC3" w14:textId="77777777" w:rsidR="00B779EE" w:rsidRPr="00B34CF2" w:rsidRDefault="00B779EE" w:rsidP="00B779EE">
      <w:pPr>
        <w:pStyle w:val="Odlomakpopisa"/>
        <w:numPr>
          <w:ilvl w:val="0"/>
          <w:numId w:val="1"/>
        </w:numPr>
        <w:spacing w:before="0"/>
        <w:rPr>
          <w:rFonts w:asciiTheme="minorHAnsi" w:hAnsiTheme="minorHAnsi" w:cstheme="minorHAnsi"/>
          <w:i/>
          <w:sz w:val="22"/>
        </w:rPr>
      </w:pPr>
      <w:r w:rsidRPr="00B34CF2">
        <w:rPr>
          <w:rFonts w:asciiTheme="minorHAnsi" w:hAnsiTheme="minorHAnsi" w:cstheme="minorHAnsi"/>
          <w:i/>
          <w:sz w:val="22"/>
        </w:rPr>
        <w:t>Ugovor za izvođenje radova</w:t>
      </w:r>
    </w:p>
    <w:p w14:paraId="08D86246" w14:textId="59076AF4" w:rsidR="00B779EE" w:rsidRPr="00B34CF2" w:rsidRDefault="00B779EE" w:rsidP="00B779EE">
      <w:pPr>
        <w:pStyle w:val="Odlomakpopisa"/>
        <w:numPr>
          <w:ilvl w:val="0"/>
          <w:numId w:val="1"/>
        </w:numPr>
        <w:spacing w:before="0"/>
        <w:rPr>
          <w:rFonts w:asciiTheme="minorHAnsi" w:hAnsiTheme="minorHAnsi" w:cstheme="minorHAnsi"/>
          <w:i/>
          <w:sz w:val="22"/>
        </w:rPr>
      </w:pPr>
      <w:r w:rsidRPr="00B34CF2">
        <w:rPr>
          <w:rFonts w:asciiTheme="minorHAnsi" w:hAnsiTheme="minorHAnsi" w:cstheme="minorHAnsi"/>
          <w:i/>
          <w:sz w:val="22"/>
        </w:rPr>
        <w:t xml:space="preserve">Ugovor za uslugu stručnog nadzora i koordinatora zaštite na radu tijekom izvođenja radova </w:t>
      </w:r>
    </w:p>
    <w:p w14:paraId="703ECD9A" w14:textId="77777777" w:rsidR="00B779EE" w:rsidRPr="00B34CF2" w:rsidRDefault="00B779EE" w:rsidP="00B779EE">
      <w:pPr>
        <w:pStyle w:val="Odlomakpopisa"/>
        <w:numPr>
          <w:ilvl w:val="0"/>
          <w:numId w:val="1"/>
        </w:numPr>
        <w:spacing w:before="0"/>
        <w:rPr>
          <w:rFonts w:asciiTheme="minorHAnsi" w:hAnsiTheme="minorHAnsi" w:cstheme="minorHAnsi"/>
          <w:i/>
          <w:sz w:val="22"/>
        </w:rPr>
      </w:pPr>
      <w:r w:rsidRPr="00B34CF2">
        <w:rPr>
          <w:rFonts w:asciiTheme="minorHAnsi" w:hAnsiTheme="minorHAnsi" w:cstheme="minorHAnsi"/>
          <w:i/>
          <w:sz w:val="22"/>
        </w:rPr>
        <w:t>Ugovor za uslugu projektantskog nadzora</w:t>
      </w:r>
    </w:p>
    <w:p w14:paraId="294CD125" w14:textId="77777777" w:rsidR="0037516C" w:rsidRPr="00B34CF2" w:rsidRDefault="0037516C" w:rsidP="00E55757">
      <w:pPr>
        <w:rPr>
          <w:rFonts w:asciiTheme="minorHAnsi" w:hAnsiTheme="minorHAnsi" w:cstheme="minorHAnsi"/>
          <w:b/>
          <w:sz w:val="22"/>
        </w:rPr>
      </w:pPr>
    </w:p>
    <w:p w14:paraId="238076CD" w14:textId="51724EFB" w:rsidR="00455CA1" w:rsidRPr="00B34CF2" w:rsidRDefault="00455CA1" w:rsidP="00E55757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>Opseg usluge</w:t>
      </w:r>
      <w:bookmarkEnd w:id="0"/>
    </w:p>
    <w:p w14:paraId="2FCA1808" w14:textId="77777777" w:rsidR="00D64FCA" w:rsidRPr="00B34CF2" w:rsidRDefault="00D64FCA" w:rsidP="00D64FCA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U provedbi svih aktivnosti, Pružatelj usluge u obvezi je osigurati vidljivost EU sufinanciranja projekta sukladno priručniku ''Informiranje, komunikacija i vidljivost projekata financiranih u okviru Europskog fonda za regionalni razvoj (EFRR), Europskog socijalnog fonda (ESF) i Kohezijskog fonda (KF) u razdoblju 2014. - 2020˝. Izvršitelj će pružiti podršku Naručitelju u organiziranju i promicanju komunikacije i vidljivosti Projekta sukladno Uputi za Korisnike vezano za informiranje i vidljivost koja je dostupna na web stranici Strukturni fondovi:</w:t>
      </w:r>
    </w:p>
    <w:p w14:paraId="7708CA70" w14:textId="77777777" w:rsidR="00D64FCA" w:rsidRPr="00B34CF2" w:rsidRDefault="00C42F87" w:rsidP="00D64FCA">
      <w:pPr>
        <w:rPr>
          <w:rStyle w:val="Hiperveza"/>
          <w:rFonts w:asciiTheme="minorHAnsi" w:hAnsiTheme="minorHAnsi" w:cstheme="minorHAnsi"/>
          <w:sz w:val="22"/>
        </w:rPr>
      </w:pPr>
      <w:hyperlink r:id="rId10" w:history="1">
        <w:r w:rsidR="00D64FCA" w:rsidRPr="00B34CF2">
          <w:rPr>
            <w:rStyle w:val="Hiperveza"/>
            <w:rFonts w:asciiTheme="minorHAnsi" w:hAnsiTheme="minorHAnsi" w:cstheme="minorHAnsi"/>
            <w:sz w:val="22"/>
          </w:rPr>
          <w:t>https://strukturnifondovi.hr/wp-content/uploads/2017/03/Upute-za-korisnike-zadnja-verzija.pdf</w:t>
        </w:r>
      </w:hyperlink>
    </w:p>
    <w:p w14:paraId="274B1B3B" w14:textId="77777777" w:rsidR="00D64FCA" w:rsidRPr="00B34CF2" w:rsidRDefault="00D64FCA" w:rsidP="00D64FCA">
      <w:pPr>
        <w:pStyle w:val="Grafikeoznake"/>
        <w:numPr>
          <w:ilvl w:val="0"/>
          <w:numId w:val="0"/>
        </w:numPr>
        <w:spacing w:before="0"/>
        <w:ind w:left="360" w:hanging="360"/>
        <w:rPr>
          <w:rFonts w:asciiTheme="minorHAnsi" w:hAnsiTheme="minorHAnsi" w:cstheme="minorHAnsi"/>
          <w:szCs w:val="22"/>
        </w:rPr>
      </w:pPr>
      <w:r w:rsidRPr="00B34CF2">
        <w:rPr>
          <w:rFonts w:asciiTheme="minorHAnsi" w:hAnsiTheme="minorHAnsi" w:cstheme="minorHAnsi"/>
          <w:szCs w:val="22"/>
          <w:lang w:eastAsia="en-US"/>
        </w:rPr>
        <w:t xml:space="preserve">Dodatno, </w:t>
      </w:r>
      <w:r w:rsidRPr="00B34CF2">
        <w:rPr>
          <w:rFonts w:asciiTheme="minorHAnsi" w:hAnsiTheme="minorHAnsi" w:cstheme="minorHAnsi"/>
          <w:szCs w:val="22"/>
        </w:rPr>
        <w:t>aktivnosti promidžbe i vidljivosti projekta usklađene sa sljedećim dokumentima:</w:t>
      </w:r>
    </w:p>
    <w:p w14:paraId="076079AF" w14:textId="77777777" w:rsidR="00D64FCA" w:rsidRPr="00B34CF2" w:rsidRDefault="00D64FCA" w:rsidP="00D64FCA">
      <w:pPr>
        <w:pStyle w:val="Odlomakpopisa"/>
        <w:numPr>
          <w:ilvl w:val="0"/>
          <w:numId w:val="15"/>
        </w:numPr>
        <w:spacing w:before="0" w:line="276" w:lineRule="auto"/>
        <w:ind w:left="1134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Komunikacijska strategija europskih strukturnih i investicijskih fondova za Republiku Hrvatsku za razdoblje 2014.-2020. dostupna na slijedećoj poveznici:</w:t>
      </w:r>
    </w:p>
    <w:p w14:paraId="1B28DA7C" w14:textId="77777777" w:rsidR="00D64FCA" w:rsidRPr="00B34CF2" w:rsidRDefault="00D64FCA" w:rsidP="00D64FCA">
      <w:pPr>
        <w:pStyle w:val="Odlomakpopisa"/>
        <w:spacing w:line="276" w:lineRule="auto"/>
        <w:ind w:left="1134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Style w:val="Hiperveza"/>
          <w:rFonts w:asciiTheme="minorHAnsi" w:hAnsiTheme="minorHAnsi" w:cstheme="minorHAnsi"/>
          <w:sz w:val="22"/>
        </w:rPr>
        <w:t>https://strukturnifondovi.hr/wp-content/uploads/2017/03/KS-i-KP-OPKK.pdf</w:t>
      </w:r>
    </w:p>
    <w:p w14:paraId="09528B76" w14:textId="77777777" w:rsidR="00D64FCA" w:rsidRPr="00B34CF2" w:rsidRDefault="00D64FCA" w:rsidP="00D64FCA">
      <w:pPr>
        <w:pStyle w:val="Odlomakpopisa"/>
        <w:numPr>
          <w:ilvl w:val="0"/>
          <w:numId w:val="15"/>
        </w:numPr>
        <w:spacing w:before="0" w:line="276" w:lineRule="auto"/>
        <w:ind w:left="1134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Smjernice vezane uz ispravnu uporabu i reprodukciju amblema Europske unije pri čemu su predlošci za vizualni identitet dostupne na slijedećoj poveznici:</w:t>
      </w:r>
    </w:p>
    <w:p w14:paraId="3EBCDB20" w14:textId="77777777" w:rsidR="00D64FCA" w:rsidRPr="00B34CF2" w:rsidRDefault="00C42F87" w:rsidP="00D64FCA">
      <w:pPr>
        <w:pStyle w:val="Odlomakpopisa"/>
        <w:spacing w:line="276" w:lineRule="auto"/>
        <w:ind w:left="1134"/>
        <w:contextualSpacing w:val="0"/>
        <w:rPr>
          <w:rFonts w:asciiTheme="minorHAnsi" w:hAnsiTheme="minorHAnsi" w:cstheme="minorHAnsi"/>
          <w:sz w:val="22"/>
        </w:rPr>
      </w:pPr>
      <w:hyperlink r:id="rId11" w:history="1">
        <w:r w:rsidR="00D64FCA" w:rsidRPr="00B34CF2">
          <w:rPr>
            <w:rStyle w:val="Hiperveza"/>
            <w:rFonts w:asciiTheme="minorHAnsi" w:hAnsiTheme="minorHAnsi" w:cstheme="minorHAnsi"/>
            <w:sz w:val="22"/>
          </w:rPr>
          <w:t>https://strukturnifondovi.hr/dokumenti/?doc_id=585&amp;fondovi=esi_fondovi</w:t>
        </w:r>
      </w:hyperlink>
      <w:r w:rsidR="00D64FCA" w:rsidRPr="00B34CF2">
        <w:rPr>
          <w:rFonts w:asciiTheme="minorHAnsi" w:hAnsiTheme="minorHAnsi" w:cstheme="minorHAnsi"/>
          <w:sz w:val="22"/>
        </w:rPr>
        <w:t xml:space="preserve"> </w:t>
      </w:r>
    </w:p>
    <w:p w14:paraId="6E2F295F" w14:textId="77777777" w:rsidR="00D64FCA" w:rsidRPr="00B34CF2" w:rsidRDefault="00D64FCA" w:rsidP="00D64FCA">
      <w:pPr>
        <w:pStyle w:val="Odlomakpopisa"/>
        <w:numPr>
          <w:ilvl w:val="0"/>
          <w:numId w:val="15"/>
        </w:numPr>
        <w:spacing w:before="0" w:line="276" w:lineRule="auto"/>
        <w:ind w:left="1134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lastRenderedPageBreak/>
        <w:t>Zahtjevi vezane uz vidljivost i informiranje navedene u Ugovoru o dodjeli bespovratnih sredstava i njegovim prilozima.</w:t>
      </w:r>
    </w:p>
    <w:p w14:paraId="22531E0B" w14:textId="20D17DC5" w:rsidR="00D64FCA" w:rsidRPr="00B34CF2" w:rsidRDefault="00D64FCA" w:rsidP="00D64FCA">
      <w:pPr>
        <w:pStyle w:val="Grafikeoznake"/>
        <w:numPr>
          <w:ilvl w:val="0"/>
          <w:numId w:val="0"/>
        </w:numPr>
        <w:tabs>
          <w:tab w:val="left" w:pos="709"/>
        </w:tabs>
        <w:spacing w:before="0"/>
        <w:rPr>
          <w:rFonts w:asciiTheme="minorHAnsi" w:hAnsiTheme="minorHAnsi" w:cstheme="minorHAnsi"/>
          <w:szCs w:val="22"/>
        </w:rPr>
      </w:pPr>
      <w:r w:rsidRPr="00B34CF2">
        <w:rPr>
          <w:rFonts w:asciiTheme="minorHAnsi" w:hAnsiTheme="minorHAnsi" w:cstheme="minorHAnsi"/>
          <w:szCs w:val="22"/>
        </w:rPr>
        <w:t xml:space="preserve">Izvršenjem usluga promidžbe i vidljivosti projekta za potrebe provedbe projekta sanacije </w:t>
      </w:r>
      <w:r w:rsidR="007D4DCB" w:rsidRPr="00B34CF2">
        <w:rPr>
          <w:rFonts w:asciiTheme="minorHAnsi" w:hAnsiTheme="minorHAnsi" w:cstheme="minorHAnsi"/>
          <w:szCs w:val="22"/>
        </w:rPr>
        <w:t>odlagališta neopasnog otpada</w:t>
      </w:r>
      <w:r w:rsidRPr="00B34CF2">
        <w:rPr>
          <w:rFonts w:asciiTheme="minorHAnsi" w:hAnsiTheme="minorHAnsi" w:cstheme="minorHAnsi"/>
          <w:szCs w:val="22"/>
        </w:rPr>
        <w:t xml:space="preserve"> „</w:t>
      </w:r>
      <w:proofErr w:type="spellStart"/>
      <w:r w:rsidRPr="00B34CF2">
        <w:rPr>
          <w:rFonts w:asciiTheme="minorHAnsi" w:hAnsiTheme="minorHAnsi" w:cstheme="minorHAnsi"/>
          <w:szCs w:val="22"/>
        </w:rPr>
        <w:t>Moseć</w:t>
      </w:r>
      <w:proofErr w:type="spellEnd"/>
      <w:r w:rsidR="00195D48" w:rsidRPr="00B34CF2">
        <w:rPr>
          <w:rFonts w:asciiTheme="minorHAnsi" w:hAnsiTheme="minorHAnsi" w:cstheme="minorHAnsi"/>
          <w:szCs w:val="22"/>
        </w:rPr>
        <w:t>“</w:t>
      </w:r>
      <w:r w:rsidRPr="00B34CF2">
        <w:rPr>
          <w:rFonts w:asciiTheme="minorHAnsi" w:hAnsiTheme="minorHAnsi" w:cstheme="minorHAnsi"/>
          <w:szCs w:val="22"/>
        </w:rPr>
        <w:t xml:space="preserve"> u Gradu Drnišu moraju se ostvariti sljedeći ciljevi:</w:t>
      </w:r>
    </w:p>
    <w:p w14:paraId="69B461A3" w14:textId="77777777" w:rsidR="00D64FCA" w:rsidRPr="00B34CF2" w:rsidRDefault="00D64FCA" w:rsidP="00D64FCA">
      <w:pPr>
        <w:pStyle w:val="Odlomakpopisa"/>
        <w:numPr>
          <w:ilvl w:val="0"/>
          <w:numId w:val="15"/>
        </w:numPr>
        <w:spacing w:before="0" w:line="276" w:lineRule="auto"/>
        <w:ind w:left="1134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Pridonijeti vidljivosti projekta u javnosti te informirati sve ciljne skupine lokalne javnosti o njegovu značaju u rješavanju okolišnih problema i doprinosu zaštiti ljudskog zdravlja i okoliša.</w:t>
      </w:r>
    </w:p>
    <w:p w14:paraId="48129BA8" w14:textId="77777777" w:rsidR="00D64FCA" w:rsidRPr="00B34CF2" w:rsidRDefault="00D64FCA" w:rsidP="00D64FCA">
      <w:pPr>
        <w:pStyle w:val="Odlomakpopisa"/>
        <w:numPr>
          <w:ilvl w:val="0"/>
          <w:numId w:val="15"/>
        </w:numPr>
        <w:spacing w:before="0" w:line="276" w:lineRule="auto"/>
        <w:ind w:left="1134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Pružiti pomoć naručitelju, kao krajnjem korisniku, u prezentaciji projekta i uspostavljanju odnosa povjerenja i suradnje s lokalnim stanovništvom koje će od projekta imati koristi.</w:t>
      </w:r>
    </w:p>
    <w:p w14:paraId="20E41B5B" w14:textId="77777777" w:rsidR="005E2E87" w:rsidRPr="00B34CF2" w:rsidRDefault="00D64FCA" w:rsidP="00D64FCA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Zadaci Izvršitelja su pružiti podršku Naručitelju u organiziranju usluga komunikacije i vidljivosti Projekta u provedbi zakonskih obveza i obaveza iz pripadajućeg ugovora</w:t>
      </w:r>
      <w:r w:rsidR="007D4DCB" w:rsidRPr="00B34CF2">
        <w:rPr>
          <w:rFonts w:asciiTheme="minorHAnsi" w:hAnsiTheme="minorHAnsi" w:cstheme="minorHAnsi"/>
          <w:sz w:val="22"/>
        </w:rPr>
        <w:t xml:space="preserve">. </w:t>
      </w:r>
    </w:p>
    <w:p w14:paraId="5E41FBF8" w14:textId="77777777" w:rsidR="00DD5346" w:rsidRPr="00B34CF2" w:rsidRDefault="00DD5346" w:rsidP="00D64FCA">
      <w:pPr>
        <w:rPr>
          <w:rFonts w:asciiTheme="minorHAnsi" w:hAnsiTheme="minorHAnsi" w:cstheme="minorHAnsi"/>
          <w:b/>
          <w:bCs/>
          <w:sz w:val="22"/>
        </w:rPr>
      </w:pPr>
    </w:p>
    <w:p w14:paraId="0CEA5606" w14:textId="037DB5C3" w:rsidR="00D64FCA" w:rsidRPr="00B34CF2" w:rsidRDefault="007D4DCB" w:rsidP="00D64FCA">
      <w:pPr>
        <w:rPr>
          <w:rFonts w:asciiTheme="minorHAnsi" w:hAnsiTheme="minorHAnsi" w:cstheme="minorHAnsi"/>
          <w:b/>
          <w:bCs/>
          <w:sz w:val="22"/>
        </w:rPr>
      </w:pPr>
      <w:r w:rsidRPr="00B34CF2">
        <w:rPr>
          <w:rFonts w:asciiTheme="minorHAnsi" w:hAnsiTheme="minorHAnsi" w:cstheme="minorHAnsi"/>
          <w:b/>
          <w:bCs/>
          <w:sz w:val="22"/>
        </w:rPr>
        <w:t xml:space="preserve">Specifični zadaci Izvršitelja </w:t>
      </w:r>
    </w:p>
    <w:p w14:paraId="44256FBF" w14:textId="1855A589" w:rsidR="00D64FCA" w:rsidRPr="00B34CF2" w:rsidRDefault="007D4DCB" w:rsidP="00975B0D">
      <w:pPr>
        <w:pStyle w:val="Odlomakpopisa"/>
        <w:numPr>
          <w:ilvl w:val="0"/>
          <w:numId w:val="17"/>
        </w:numPr>
        <w:spacing w:before="0" w:line="276" w:lineRule="auto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Izrada komunikacijske strategije</w:t>
      </w:r>
      <w:r w:rsidR="00D94E33" w:rsidRPr="00B34CF2">
        <w:rPr>
          <w:rFonts w:asciiTheme="minorHAnsi" w:hAnsiTheme="minorHAnsi" w:cstheme="minorHAnsi"/>
          <w:sz w:val="22"/>
        </w:rPr>
        <w:t xml:space="preserve"> (definiranje ciljeva, ciljanih skupina, ključnih poruka i sl.)</w:t>
      </w:r>
      <w:r w:rsidR="00975B0D" w:rsidRPr="00B34CF2">
        <w:rPr>
          <w:rFonts w:asciiTheme="minorHAnsi" w:hAnsiTheme="minorHAnsi" w:cstheme="minorHAnsi"/>
          <w:sz w:val="22"/>
        </w:rPr>
        <w:t xml:space="preserve">. Komunikacijska strategija bit će dostavljena Naručitelju unutar 45 dana od početka pružanja predmetne usluge. Komunikacijska strategija obuhvatit će i Plan </w:t>
      </w:r>
      <w:r w:rsidR="00D64FCA" w:rsidRPr="00B34CF2">
        <w:rPr>
          <w:rFonts w:asciiTheme="minorHAnsi" w:hAnsiTheme="minorHAnsi" w:cstheme="minorHAnsi"/>
          <w:sz w:val="22"/>
        </w:rPr>
        <w:t>organizacije i provedbe aktivnosti promidžbe i vidljivosti projekta</w:t>
      </w:r>
      <w:r w:rsidR="00FD3FE8" w:rsidRPr="00B34CF2">
        <w:rPr>
          <w:rFonts w:asciiTheme="minorHAnsi" w:hAnsiTheme="minorHAnsi" w:cstheme="minorHAnsi"/>
          <w:sz w:val="22"/>
        </w:rPr>
        <w:t>. Plan će prikazati</w:t>
      </w:r>
      <w:r w:rsidR="00975B0D" w:rsidRPr="00B34CF2">
        <w:rPr>
          <w:rFonts w:asciiTheme="minorHAnsi" w:hAnsiTheme="minorHAnsi" w:cstheme="minorHAnsi"/>
          <w:sz w:val="22"/>
        </w:rPr>
        <w:t xml:space="preserve"> vremenski raspored svake aktivnosti, obuhvat </w:t>
      </w:r>
      <w:r w:rsidR="00FD3FE8" w:rsidRPr="00B34CF2">
        <w:rPr>
          <w:rFonts w:asciiTheme="minorHAnsi" w:hAnsiTheme="minorHAnsi" w:cstheme="minorHAnsi"/>
          <w:sz w:val="22"/>
        </w:rPr>
        <w:t xml:space="preserve">pojedine </w:t>
      </w:r>
      <w:r w:rsidR="00975B0D" w:rsidRPr="00B34CF2">
        <w:rPr>
          <w:rFonts w:asciiTheme="minorHAnsi" w:hAnsiTheme="minorHAnsi" w:cstheme="minorHAnsi"/>
          <w:sz w:val="22"/>
        </w:rPr>
        <w:t>aktivnosti, predviđeni plan fakturiranja pojedine aktivnosti, i sl.</w:t>
      </w:r>
      <w:r w:rsidR="00D64FCA" w:rsidRPr="00B34CF2">
        <w:rPr>
          <w:rFonts w:asciiTheme="minorHAnsi" w:hAnsiTheme="minorHAnsi" w:cstheme="minorHAnsi"/>
          <w:sz w:val="22"/>
        </w:rPr>
        <w:t xml:space="preserve"> </w:t>
      </w:r>
      <w:r w:rsidR="00FD3FE8" w:rsidRPr="00B34CF2">
        <w:rPr>
          <w:rFonts w:asciiTheme="minorHAnsi" w:hAnsiTheme="minorHAnsi" w:cstheme="minorHAnsi"/>
          <w:sz w:val="22"/>
        </w:rPr>
        <w:t>Ukoliko dođe do promjene u Planu, potrebno ga je ažurirati i dostaviti Naručitelju na znanje</w:t>
      </w:r>
      <w:r w:rsidR="00975B0D" w:rsidRPr="00B34CF2">
        <w:rPr>
          <w:rFonts w:asciiTheme="minorHAnsi" w:hAnsiTheme="minorHAnsi" w:cstheme="minorHAnsi"/>
          <w:sz w:val="22"/>
        </w:rPr>
        <w:t>.</w:t>
      </w:r>
    </w:p>
    <w:p w14:paraId="6B3CC15C" w14:textId="68FF2C32" w:rsidR="00D64FCA" w:rsidRPr="00B34CF2" w:rsidRDefault="00D64FCA" w:rsidP="00DD5346">
      <w:pPr>
        <w:pStyle w:val="Odlomakpopisa"/>
        <w:numPr>
          <w:ilvl w:val="0"/>
          <w:numId w:val="17"/>
        </w:numPr>
        <w:spacing w:before="0" w:line="276" w:lineRule="auto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Usluga izrade vizualnog identiteta projekta (logo) koji će se primjenjivati na sve promotivne materijale i usluge</w:t>
      </w:r>
      <w:r w:rsidR="000D49A3" w:rsidRPr="00B34CF2">
        <w:rPr>
          <w:rFonts w:asciiTheme="minorHAnsi" w:hAnsiTheme="minorHAnsi" w:cstheme="minorHAnsi"/>
          <w:sz w:val="22"/>
        </w:rPr>
        <w:t>. Logo projekta mora biti odobren od strane Naručitelja.</w:t>
      </w:r>
    </w:p>
    <w:p w14:paraId="14D2D17F" w14:textId="3A9E7F41" w:rsidR="00D64FCA" w:rsidRPr="00B34CF2" w:rsidRDefault="00D64FCA" w:rsidP="00DD5346">
      <w:pPr>
        <w:pStyle w:val="Odlomakpopisa"/>
        <w:numPr>
          <w:ilvl w:val="0"/>
          <w:numId w:val="17"/>
        </w:numPr>
        <w:spacing w:before="0" w:line="276" w:lineRule="auto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Usluga izrade web </w:t>
      </w:r>
      <w:proofErr w:type="spellStart"/>
      <w:r w:rsidR="007D4DCB" w:rsidRPr="00B34CF2">
        <w:rPr>
          <w:rFonts w:asciiTheme="minorHAnsi" w:hAnsiTheme="minorHAnsi" w:cstheme="minorHAnsi"/>
          <w:sz w:val="22"/>
        </w:rPr>
        <w:t>bannera</w:t>
      </w:r>
      <w:proofErr w:type="spellEnd"/>
      <w:r w:rsidR="007D4DCB" w:rsidRPr="00B34CF2">
        <w:rPr>
          <w:rFonts w:asciiTheme="minorHAnsi" w:hAnsiTheme="minorHAnsi" w:cstheme="minorHAnsi"/>
          <w:sz w:val="22"/>
        </w:rPr>
        <w:t xml:space="preserve"> i web sadržaja projekta</w:t>
      </w:r>
      <w:r w:rsidR="00B80AB9" w:rsidRPr="00B34CF2">
        <w:rPr>
          <w:rFonts w:asciiTheme="minorHAnsi" w:hAnsiTheme="minorHAnsi" w:cstheme="minorHAnsi"/>
          <w:sz w:val="22"/>
        </w:rPr>
        <w:t>:</w:t>
      </w:r>
      <w:r w:rsidR="007D4DCB" w:rsidRPr="00B34CF2">
        <w:rPr>
          <w:rFonts w:asciiTheme="minorHAnsi" w:hAnsiTheme="minorHAnsi" w:cstheme="minorHAnsi"/>
          <w:sz w:val="22"/>
        </w:rPr>
        <w:t xml:space="preserve"> web dizajn (tekst, grafika), </w:t>
      </w:r>
      <w:r w:rsidRPr="00B34CF2">
        <w:rPr>
          <w:rFonts w:asciiTheme="minorHAnsi" w:hAnsiTheme="minorHAnsi" w:cstheme="minorHAnsi"/>
          <w:sz w:val="22"/>
        </w:rPr>
        <w:t xml:space="preserve">redovito </w:t>
      </w:r>
      <w:r w:rsidR="00B80AB9" w:rsidRPr="00B34CF2">
        <w:rPr>
          <w:rFonts w:asciiTheme="minorHAnsi" w:hAnsiTheme="minorHAnsi" w:cstheme="minorHAnsi"/>
          <w:sz w:val="22"/>
        </w:rPr>
        <w:t xml:space="preserve">osmišljavanje i </w:t>
      </w:r>
      <w:r w:rsidRPr="00B34CF2">
        <w:rPr>
          <w:rFonts w:asciiTheme="minorHAnsi" w:hAnsiTheme="minorHAnsi" w:cstheme="minorHAnsi"/>
          <w:sz w:val="22"/>
        </w:rPr>
        <w:t xml:space="preserve">objavljivanje sadržaja u koordinaciji s Naručiteljem </w:t>
      </w:r>
      <w:r w:rsidR="000D49A3" w:rsidRPr="00B34CF2">
        <w:rPr>
          <w:rFonts w:asciiTheme="minorHAnsi" w:hAnsiTheme="minorHAnsi" w:cstheme="minorHAnsi"/>
          <w:sz w:val="22"/>
        </w:rPr>
        <w:t>(</w:t>
      </w:r>
      <w:r w:rsidRPr="00B34CF2">
        <w:rPr>
          <w:rFonts w:asciiTheme="minorHAnsi" w:hAnsiTheme="minorHAnsi" w:cstheme="minorHAnsi"/>
          <w:sz w:val="22"/>
        </w:rPr>
        <w:t>na početku i na kraju provedbe projekta, prilikom uvođenja izvođača u posao te prilikom svih važnijih događanja projekta</w:t>
      </w:r>
      <w:r w:rsidR="000D49A3" w:rsidRPr="00B34CF2">
        <w:rPr>
          <w:rFonts w:asciiTheme="minorHAnsi" w:hAnsiTheme="minorHAnsi" w:cstheme="minorHAnsi"/>
          <w:sz w:val="22"/>
        </w:rPr>
        <w:t>)</w:t>
      </w:r>
      <w:r w:rsidRPr="00B34CF2">
        <w:rPr>
          <w:rFonts w:asciiTheme="minorHAnsi" w:hAnsiTheme="minorHAnsi" w:cstheme="minorHAnsi"/>
          <w:sz w:val="22"/>
        </w:rPr>
        <w:t>;</w:t>
      </w:r>
    </w:p>
    <w:p w14:paraId="76BBBE57" w14:textId="554966BE" w:rsidR="00D64FCA" w:rsidRPr="00B34CF2" w:rsidRDefault="00D64FCA" w:rsidP="00DD5346">
      <w:pPr>
        <w:pStyle w:val="Odlomakpopisa"/>
        <w:numPr>
          <w:ilvl w:val="0"/>
          <w:numId w:val="17"/>
        </w:numPr>
        <w:spacing w:before="0" w:line="276" w:lineRule="auto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Usluge </w:t>
      </w:r>
      <w:r w:rsidR="00EB3E69" w:rsidRPr="00B34CF2">
        <w:rPr>
          <w:rFonts w:asciiTheme="minorHAnsi" w:hAnsiTheme="minorHAnsi" w:cstheme="minorHAnsi"/>
          <w:sz w:val="22"/>
        </w:rPr>
        <w:t>grafičke pripreme, pripreme za tisak</w:t>
      </w:r>
      <w:r w:rsidRPr="00B34CF2">
        <w:rPr>
          <w:rFonts w:asciiTheme="minorHAnsi" w:hAnsiTheme="minorHAnsi" w:cstheme="minorHAnsi"/>
          <w:sz w:val="22"/>
        </w:rPr>
        <w:t xml:space="preserve"> i tiska promotivnih materijala</w:t>
      </w:r>
      <w:r w:rsidR="007D4DCB" w:rsidRPr="00B34CF2">
        <w:rPr>
          <w:rFonts w:asciiTheme="minorHAnsi" w:hAnsiTheme="minorHAnsi" w:cstheme="minorHAnsi"/>
          <w:sz w:val="22"/>
        </w:rPr>
        <w:t>:</w:t>
      </w:r>
    </w:p>
    <w:tbl>
      <w:tblPr>
        <w:tblStyle w:val="Reetkatablice"/>
        <w:tblW w:w="0" w:type="auto"/>
        <w:tblInd w:w="714" w:type="dxa"/>
        <w:tblLook w:val="04A0" w:firstRow="1" w:lastRow="0" w:firstColumn="1" w:lastColumn="0" w:noHBand="0" w:noVBand="1"/>
      </w:tblPr>
      <w:tblGrid>
        <w:gridCol w:w="578"/>
        <w:gridCol w:w="4940"/>
        <w:gridCol w:w="2766"/>
      </w:tblGrid>
      <w:tr w:rsidR="00D6435A" w:rsidRPr="00B34CF2" w14:paraId="556C0978" w14:textId="77777777" w:rsidTr="00D6435A">
        <w:tc>
          <w:tcPr>
            <w:tcW w:w="578" w:type="dxa"/>
          </w:tcPr>
          <w:p w14:paraId="09961EF2" w14:textId="1FED0477" w:rsidR="00D6435A" w:rsidRPr="00B34CF2" w:rsidRDefault="003A2FDF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4</w:t>
            </w:r>
            <w:r w:rsidR="00D6435A" w:rsidRPr="00B34CF2">
              <w:rPr>
                <w:rFonts w:asciiTheme="minorHAnsi" w:hAnsiTheme="minorHAnsi" w:cstheme="minorHAnsi"/>
                <w:sz w:val="22"/>
              </w:rPr>
              <w:t>.1.</w:t>
            </w:r>
          </w:p>
        </w:tc>
        <w:tc>
          <w:tcPr>
            <w:tcW w:w="4940" w:type="dxa"/>
          </w:tcPr>
          <w:p w14:paraId="5D721811" w14:textId="77777777" w:rsidR="002E435A" w:rsidRPr="00B34CF2" w:rsidRDefault="00D6435A" w:rsidP="002E435A">
            <w:pPr>
              <w:spacing w:after="160" w:line="240" w:lineRule="auto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Promotivni letak/brošura sa informacijama o projektu - A4 American (</w:t>
            </w:r>
            <w:proofErr w:type="spellStart"/>
            <w:r w:rsidRPr="00B34CF2">
              <w:rPr>
                <w:rFonts w:asciiTheme="minorHAnsi" w:hAnsiTheme="minorHAnsi" w:cstheme="minorHAnsi"/>
                <w:sz w:val="22"/>
              </w:rPr>
              <w:t>Deplijan</w:t>
            </w:r>
            <w:proofErr w:type="spellEnd"/>
            <w:r w:rsidRPr="00B34CF2">
              <w:rPr>
                <w:rFonts w:asciiTheme="minorHAnsi" w:hAnsiTheme="minorHAnsi" w:cstheme="minorHAnsi"/>
                <w:sz w:val="22"/>
              </w:rPr>
              <w:t>)</w:t>
            </w:r>
            <w:r w:rsidR="002E435A" w:rsidRPr="00B34CF2">
              <w:rPr>
                <w:rFonts w:asciiTheme="minorHAnsi" w:hAnsiTheme="minorHAnsi" w:cstheme="minorHAnsi"/>
                <w:sz w:val="22"/>
              </w:rPr>
              <w:t xml:space="preserve"> </w:t>
            </w:r>
          </w:p>
          <w:p w14:paraId="6A0378E6" w14:textId="0F7C0452" w:rsidR="002E435A" w:rsidRPr="00B34CF2" w:rsidRDefault="002E435A" w:rsidP="002E435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Grafička priprema i</w:t>
            </w:r>
            <w:r w:rsidRPr="00B34CF2">
              <w:rPr>
                <w:rFonts w:asciiTheme="minorHAnsi" w:hAnsiTheme="minorHAnsi" w:cstheme="minorHAnsi"/>
                <w:sz w:val="22"/>
              </w:rPr>
              <w:t xml:space="preserve"> tisak projektnog letka na recikliranom papiru  formata A4, savijen u „</w:t>
            </w:r>
            <w:proofErr w:type="spellStart"/>
            <w:r w:rsidRPr="00B34CF2">
              <w:rPr>
                <w:rFonts w:asciiTheme="minorHAnsi" w:hAnsiTheme="minorHAnsi" w:cstheme="minorHAnsi"/>
                <w:sz w:val="22"/>
              </w:rPr>
              <w:t>american</w:t>
            </w:r>
            <w:proofErr w:type="spellEnd"/>
            <w:r w:rsidRPr="00B34CF2">
              <w:rPr>
                <w:rFonts w:asciiTheme="minorHAnsi" w:hAnsiTheme="minorHAnsi" w:cstheme="minorHAnsi"/>
                <w:sz w:val="22"/>
              </w:rPr>
              <w:t>“ formatu, debljine papira 80 g., tiskano obostrano u boji.</w:t>
            </w:r>
          </w:p>
          <w:p w14:paraId="1B81FB34" w14:textId="4C7C5213" w:rsidR="00D6435A" w:rsidRPr="00B34CF2" w:rsidRDefault="00D6435A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2766" w:type="dxa"/>
          </w:tcPr>
          <w:p w14:paraId="648ECD6F" w14:textId="3BFDCE72" w:rsidR="00D6435A" w:rsidRPr="00B34CF2" w:rsidRDefault="00D6435A" w:rsidP="00427B49">
            <w:pPr>
              <w:pStyle w:val="Odlomakpopisa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Broj komada:</w:t>
            </w:r>
            <w:r w:rsidR="002E435A" w:rsidRPr="00B34CF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2E435A" w:rsidRPr="00B34CF2">
              <w:rPr>
                <w:rFonts w:asciiTheme="minorHAnsi" w:hAnsiTheme="minorHAnsi" w:cstheme="minorHAnsi"/>
                <w:b/>
                <w:bCs/>
                <w:sz w:val="22"/>
              </w:rPr>
              <w:t>1.000</w:t>
            </w:r>
          </w:p>
        </w:tc>
      </w:tr>
      <w:tr w:rsidR="00D6435A" w:rsidRPr="00B34CF2" w14:paraId="6E48B0C6" w14:textId="77777777" w:rsidTr="00D6435A">
        <w:tc>
          <w:tcPr>
            <w:tcW w:w="578" w:type="dxa"/>
          </w:tcPr>
          <w:p w14:paraId="7C9EC1FD" w14:textId="06BABA96" w:rsidR="00D6435A" w:rsidRPr="00B34CF2" w:rsidRDefault="003A2FDF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4</w:t>
            </w:r>
            <w:r w:rsidR="00D6435A" w:rsidRPr="00B34CF2">
              <w:rPr>
                <w:rFonts w:asciiTheme="minorHAnsi" w:hAnsiTheme="minorHAnsi" w:cstheme="minorHAnsi"/>
                <w:sz w:val="22"/>
              </w:rPr>
              <w:t>.2.</w:t>
            </w:r>
          </w:p>
        </w:tc>
        <w:tc>
          <w:tcPr>
            <w:tcW w:w="4940" w:type="dxa"/>
          </w:tcPr>
          <w:p w14:paraId="2BE5A8A6" w14:textId="5F2DD705" w:rsidR="00D6435A" w:rsidRPr="00B34CF2" w:rsidRDefault="00D6435A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Kartonski promotivni stalak za letke</w:t>
            </w:r>
          </w:p>
        </w:tc>
        <w:tc>
          <w:tcPr>
            <w:tcW w:w="2766" w:type="dxa"/>
          </w:tcPr>
          <w:p w14:paraId="2483C5D1" w14:textId="4F0FABA8" w:rsidR="00D6435A" w:rsidRPr="00B34CF2" w:rsidRDefault="00D6435A" w:rsidP="00427B49">
            <w:pPr>
              <w:pStyle w:val="Odlomakpopisa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 xml:space="preserve">Broj komada: </w:t>
            </w:r>
            <w:r w:rsidRPr="00B34CF2">
              <w:rPr>
                <w:rFonts w:asciiTheme="minorHAnsi" w:eastAsia="Times New Roman" w:hAnsiTheme="minorHAnsi" w:cstheme="minorHAnsi"/>
                <w:b/>
                <w:bCs/>
                <w:sz w:val="22"/>
              </w:rPr>
              <w:t>1</w:t>
            </w:r>
          </w:p>
        </w:tc>
      </w:tr>
      <w:tr w:rsidR="00D6435A" w:rsidRPr="00B34CF2" w14:paraId="6038BC5E" w14:textId="77777777" w:rsidTr="00D6435A">
        <w:tc>
          <w:tcPr>
            <w:tcW w:w="578" w:type="dxa"/>
          </w:tcPr>
          <w:p w14:paraId="181E0D52" w14:textId="176D7799" w:rsidR="00D6435A" w:rsidRPr="00B34CF2" w:rsidRDefault="003A2FDF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lastRenderedPageBreak/>
              <w:t>4</w:t>
            </w:r>
            <w:r w:rsidR="00D6435A" w:rsidRPr="00B34CF2">
              <w:rPr>
                <w:rFonts w:asciiTheme="minorHAnsi" w:hAnsiTheme="minorHAnsi" w:cstheme="minorHAnsi"/>
                <w:sz w:val="22"/>
              </w:rPr>
              <w:t>.3.</w:t>
            </w:r>
          </w:p>
        </w:tc>
        <w:tc>
          <w:tcPr>
            <w:tcW w:w="4940" w:type="dxa"/>
          </w:tcPr>
          <w:p w14:paraId="2CB41AE2" w14:textId="21F4B16D" w:rsidR="00D6435A" w:rsidRPr="00B34CF2" w:rsidRDefault="00D6435A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 xml:space="preserve">Plakat B2 sa informacijama o projektu </w:t>
            </w:r>
            <w:r w:rsidR="00F37B65" w:rsidRPr="00B34CF2">
              <w:rPr>
                <w:rFonts w:asciiTheme="minorHAnsi" w:eastAsia="Times New Roman" w:hAnsiTheme="minorHAnsi" w:cstheme="minorHAnsi"/>
                <w:color w:val="000000"/>
                <w:sz w:val="22"/>
              </w:rPr>
              <w:t>u aluminijskom klik-klak okviru</w:t>
            </w:r>
            <w:r w:rsidR="00F37B65" w:rsidRPr="00B34CF2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B34CF2">
              <w:rPr>
                <w:rFonts w:asciiTheme="minorHAnsi" w:hAnsiTheme="minorHAnsi" w:cstheme="minorHAnsi"/>
                <w:sz w:val="22"/>
              </w:rPr>
              <w:t>(postavlja se na frekventno mjesto u prostoru naručitelja)</w:t>
            </w:r>
          </w:p>
        </w:tc>
        <w:tc>
          <w:tcPr>
            <w:tcW w:w="2766" w:type="dxa"/>
          </w:tcPr>
          <w:p w14:paraId="14782539" w14:textId="7B04CB15" w:rsidR="00D6435A" w:rsidRPr="00B34CF2" w:rsidRDefault="00D6435A" w:rsidP="00427B49">
            <w:pPr>
              <w:pStyle w:val="Odlomakpopisa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 xml:space="preserve">Broj komada: </w:t>
            </w:r>
            <w:r w:rsidR="00F37B65" w:rsidRPr="00B34CF2">
              <w:rPr>
                <w:rFonts w:asciiTheme="minorHAnsi" w:hAnsiTheme="minorHAnsi" w:cstheme="minorHAnsi"/>
                <w:b/>
                <w:bCs/>
                <w:sz w:val="22"/>
              </w:rPr>
              <w:t>2</w:t>
            </w:r>
          </w:p>
        </w:tc>
      </w:tr>
      <w:tr w:rsidR="00D6435A" w:rsidRPr="00B34CF2" w14:paraId="5C598347" w14:textId="77777777" w:rsidTr="00D6435A">
        <w:tc>
          <w:tcPr>
            <w:tcW w:w="578" w:type="dxa"/>
          </w:tcPr>
          <w:p w14:paraId="7D6E0367" w14:textId="433A9483" w:rsidR="00D6435A" w:rsidRPr="00B34CF2" w:rsidRDefault="003A2FDF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>4</w:t>
            </w:r>
            <w:r w:rsidR="00D6435A" w:rsidRPr="00B34CF2">
              <w:rPr>
                <w:rFonts w:asciiTheme="minorHAnsi" w:hAnsiTheme="minorHAnsi" w:cstheme="minorHAnsi"/>
                <w:sz w:val="22"/>
              </w:rPr>
              <w:t>.4.</w:t>
            </w:r>
          </w:p>
        </w:tc>
        <w:tc>
          <w:tcPr>
            <w:tcW w:w="4940" w:type="dxa"/>
          </w:tcPr>
          <w:p w14:paraId="7B9F58FB" w14:textId="53F1C70C" w:rsidR="00D6435A" w:rsidRPr="00B34CF2" w:rsidRDefault="00D6435A" w:rsidP="00D64FCA">
            <w:pPr>
              <w:pStyle w:val="Odlomakpopisa"/>
              <w:spacing w:line="276" w:lineRule="auto"/>
              <w:ind w:left="22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 xml:space="preserve">Roll </w:t>
            </w:r>
            <w:proofErr w:type="spellStart"/>
            <w:r w:rsidRPr="00B34CF2">
              <w:rPr>
                <w:rFonts w:asciiTheme="minorHAnsi" w:hAnsiTheme="minorHAnsi" w:cstheme="minorHAnsi"/>
                <w:sz w:val="22"/>
              </w:rPr>
              <w:t>up</w:t>
            </w:r>
            <w:proofErr w:type="spellEnd"/>
            <w:r w:rsidRPr="00B34CF2">
              <w:rPr>
                <w:rFonts w:asciiTheme="minorHAnsi" w:hAnsiTheme="minorHAnsi" w:cstheme="minorHAnsi"/>
                <w:sz w:val="22"/>
              </w:rPr>
              <w:t xml:space="preserve"> </w:t>
            </w:r>
            <w:proofErr w:type="spellStart"/>
            <w:r w:rsidRPr="00B34CF2">
              <w:rPr>
                <w:rFonts w:asciiTheme="minorHAnsi" w:hAnsiTheme="minorHAnsi" w:cstheme="minorHAnsi"/>
                <w:sz w:val="22"/>
              </w:rPr>
              <w:t>banner</w:t>
            </w:r>
            <w:proofErr w:type="spellEnd"/>
            <w:r w:rsidRPr="00B34CF2">
              <w:rPr>
                <w:rFonts w:asciiTheme="minorHAnsi" w:hAnsiTheme="minorHAnsi" w:cstheme="minorHAnsi"/>
                <w:sz w:val="22"/>
              </w:rPr>
              <w:t xml:space="preserve"> sa stalkom/pingvin dimenzija 85x200 (u boji) </w:t>
            </w:r>
          </w:p>
        </w:tc>
        <w:tc>
          <w:tcPr>
            <w:tcW w:w="2766" w:type="dxa"/>
          </w:tcPr>
          <w:p w14:paraId="2B259889" w14:textId="615683EB" w:rsidR="00D6435A" w:rsidRPr="00B34CF2" w:rsidRDefault="00D6435A" w:rsidP="00427B49">
            <w:pPr>
              <w:pStyle w:val="Odlomakpopisa"/>
              <w:spacing w:line="276" w:lineRule="auto"/>
              <w:ind w:left="0"/>
              <w:contextualSpacing w:val="0"/>
              <w:rPr>
                <w:rFonts w:asciiTheme="minorHAnsi" w:hAnsiTheme="minorHAnsi" w:cstheme="minorHAnsi"/>
                <w:sz w:val="22"/>
              </w:rPr>
            </w:pPr>
            <w:r w:rsidRPr="00B34CF2">
              <w:rPr>
                <w:rFonts w:asciiTheme="minorHAnsi" w:hAnsiTheme="minorHAnsi" w:cstheme="minorHAnsi"/>
                <w:sz w:val="22"/>
              </w:rPr>
              <w:t xml:space="preserve">Broj komada: </w:t>
            </w:r>
            <w:r w:rsidRPr="00B34CF2">
              <w:rPr>
                <w:rFonts w:asciiTheme="minorHAnsi" w:hAnsiTheme="minorHAnsi" w:cstheme="minorHAnsi"/>
                <w:b/>
                <w:bCs/>
                <w:sz w:val="22"/>
              </w:rPr>
              <w:t>1</w:t>
            </w:r>
          </w:p>
        </w:tc>
      </w:tr>
    </w:tbl>
    <w:p w14:paraId="62F6991F" w14:textId="77777777" w:rsidR="00AD1B14" w:rsidRPr="00B34CF2" w:rsidRDefault="00AD1B14" w:rsidP="00AD1B14">
      <w:pPr>
        <w:pStyle w:val="Odlomakpopisa"/>
        <w:spacing w:before="0" w:line="276" w:lineRule="auto"/>
        <w:ind w:left="714"/>
        <w:contextualSpacing w:val="0"/>
        <w:rPr>
          <w:rFonts w:asciiTheme="minorHAnsi" w:hAnsiTheme="minorHAnsi" w:cstheme="minorHAnsi"/>
          <w:sz w:val="22"/>
        </w:rPr>
      </w:pPr>
    </w:p>
    <w:p w14:paraId="3BAA620F" w14:textId="4EFFAA0C" w:rsidR="00AD1B14" w:rsidRPr="00B34CF2" w:rsidRDefault="00AD1B14" w:rsidP="00AD1B14">
      <w:pPr>
        <w:pStyle w:val="Odlomakpopisa"/>
        <w:spacing w:before="0" w:line="276" w:lineRule="auto"/>
        <w:ind w:left="714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Izvršitelj će</w:t>
      </w:r>
      <w:r w:rsidR="0027127E" w:rsidRPr="00B34CF2">
        <w:rPr>
          <w:rFonts w:asciiTheme="minorHAnsi" w:hAnsiTheme="minorHAnsi" w:cstheme="minorHAnsi"/>
          <w:sz w:val="22"/>
        </w:rPr>
        <w:t xml:space="preserve"> grafičku pripremu</w:t>
      </w:r>
      <w:r w:rsidRPr="00B34CF2">
        <w:rPr>
          <w:rFonts w:asciiTheme="minorHAnsi" w:hAnsiTheme="minorHAnsi" w:cstheme="minorHAnsi"/>
          <w:sz w:val="22"/>
        </w:rPr>
        <w:t xml:space="preserve"> materijal</w:t>
      </w:r>
      <w:r w:rsidR="0027127E" w:rsidRPr="00B34CF2">
        <w:rPr>
          <w:rFonts w:asciiTheme="minorHAnsi" w:hAnsiTheme="minorHAnsi" w:cstheme="minorHAnsi"/>
          <w:sz w:val="22"/>
        </w:rPr>
        <w:t>a</w:t>
      </w:r>
      <w:r w:rsidRPr="00B34CF2">
        <w:rPr>
          <w:rFonts w:asciiTheme="minorHAnsi" w:hAnsiTheme="minorHAnsi" w:cstheme="minorHAnsi"/>
          <w:sz w:val="22"/>
        </w:rPr>
        <w:t xml:space="preserve"> dostaviti Naručitelju na odobrenje, te ih po odobrenju Naručitelja poslati u tisak. Tiskane materijale Izvršitelj je dužan dostaviti na adresu Naručitelja.</w:t>
      </w:r>
    </w:p>
    <w:p w14:paraId="480310F1" w14:textId="5141404E" w:rsidR="00D64FCA" w:rsidRPr="00B34CF2" w:rsidRDefault="00D64FCA" w:rsidP="00D6435A">
      <w:pPr>
        <w:pStyle w:val="Odlomakpopisa"/>
        <w:numPr>
          <w:ilvl w:val="0"/>
          <w:numId w:val="17"/>
        </w:numPr>
        <w:spacing w:before="0" w:line="276" w:lineRule="auto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Izrada priopćenja za medije i kupnja medijskog prostora u 1 tiskanom </w:t>
      </w:r>
      <w:r w:rsidR="007D4DCB" w:rsidRPr="00B34CF2">
        <w:rPr>
          <w:rFonts w:asciiTheme="minorHAnsi" w:hAnsiTheme="minorHAnsi" w:cstheme="minorHAnsi"/>
          <w:sz w:val="22"/>
        </w:rPr>
        <w:t xml:space="preserve">mediju </w:t>
      </w:r>
      <w:r w:rsidRPr="00B34CF2">
        <w:rPr>
          <w:rFonts w:asciiTheme="minorHAnsi" w:hAnsiTheme="minorHAnsi" w:cstheme="minorHAnsi"/>
          <w:sz w:val="22"/>
        </w:rPr>
        <w:t>(lokalne novine</w:t>
      </w:r>
      <w:r w:rsidR="00DD5346" w:rsidRPr="00B34CF2">
        <w:rPr>
          <w:rFonts w:asciiTheme="minorHAnsi" w:hAnsiTheme="minorHAnsi" w:cstheme="minorHAnsi"/>
          <w:sz w:val="22"/>
        </w:rPr>
        <w:t>, prema dogovoru s Naručiteljem</w:t>
      </w:r>
      <w:r w:rsidRPr="00B34CF2">
        <w:rPr>
          <w:rFonts w:asciiTheme="minorHAnsi" w:hAnsiTheme="minorHAnsi" w:cstheme="minorHAnsi"/>
          <w:sz w:val="22"/>
        </w:rPr>
        <w:t>)  i 1 elektroničkom mediju (internetski portal</w:t>
      </w:r>
      <w:r w:rsidR="00427B49" w:rsidRPr="00B34CF2">
        <w:rPr>
          <w:rFonts w:asciiTheme="minorHAnsi" w:hAnsiTheme="minorHAnsi" w:cstheme="minorHAnsi"/>
          <w:sz w:val="22"/>
        </w:rPr>
        <w:t xml:space="preserve"> ili sl.</w:t>
      </w:r>
      <w:r w:rsidR="00EB3E69" w:rsidRPr="00B34CF2">
        <w:rPr>
          <w:rFonts w:asciiTheme="minorHAnsi" w:hAnsiTheme="minorHAnsi" w:cstheme="minorHAnsi"/>
          <w:sz w:val="22"/>
        </w:rPr>
        <w:t>, prema dogovoru s Naručiteljem</w:t>
      </w:r>
      <w:r w:rsidRPr="00B34CF2">
        <w:rPr>
          <w:rFonts w:asciiTheme="minorHAnsi" w:hAnsiTheme="minorHAnsi" w:cstheme="minorHAnsi"/>
          <w:sz w:val="22"/>
        </w:rPr>
        <w:t>) - na početku i kraju provedbe projekta</w:t>
      </w:r>
      <w:r w:rsidR="0027127E" w:rsidRPr="00B34CF2">
        <w:rPr>
          <w:rFonts w:asciiTheme="minorHAnsi" w:hAnsiTheme="minorHAnsi" w:cstheme="minorHAnsi"/>
          <w:sz w:val="22"/>
        </w:rPr>
        <w:t xml:space="preserve"> (ukupno 4 objave).</w:t>
      </w:r>
    </w:p>
    <w:p w14:paraId="38ADBF4C" w14:textId="5C348DE6" w:rsidR="00D64FCA" w:rsidRPr="00B34CF2" w:rsidRDefault="00D64FCA" w:rsidP="00D6435A">
      <w:pPr>
        <w:pStyle w:val="Odlomakpopisa"/>
        <w:numPr>
          <w:ilvl w:val="0"/>
          <w:numId w:val="17"/>
        </w:numPr>
        <w:spacing w:before="0" w:line="276" w:lineRule="auto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Organiziranje i provođenje </w:t>
      </w:r>
      <w:r w:rsidR="007D4DCB" w:rsidRPr="00B34CF2">
        <w:rPr>
          <w:rFonts w:asciiTheme="minorHAnsi" w:hAnsiTheme="minorHAnsi" w:cstheme="minorHAnsi"/>
          <w:sz w:val="22"/>
        </w:rPr>
        <w:t>2</w:t>
      </w:r>
      <w:r w:rsidRPr="00B34CF2">
        <w:rPr>
          <w:rFonts w:asciiTheme="minorHAnsi" w:hAnsiTheme="minorHAnsi" w:cstheme="minorHAnsi"/>
          <w:sz w:val="22"/>
        </w:rPr>
        <w:t xml:space="preserve"> </w:t>
      </w:r>
      <w:r w:rsidR="00AD1B14" w:rsidRPr="00B34CF2">
        <w:rPr>
          <w:rFonts w:asciiTheme="minorHAnsi" w:hAnsiTheme="minorHAnsi" w:cstheme="minorHAnsi"/>
          <w:sz w:val="22"/>
        </w:rPr>
        <w:t>(</w:t>
      </w:r>
      <w:r w:rsidR="007D4DCB" w:rsidRPr="00B34CF2">
        <w:rPr>
          <w:rFonts w:asciiTheme="minorHAnsi" w:hAnsiTheme="minorHAnsi" w:cstheme="minorHAnsi"/>
          <w:sz w:val="22"/>
        </w:rPr>
        <w:t>dva</w:t>
      </w:r>
      <w:r w:rsidR="00AD1B14" w:rsidRPr="00B34CF2">
        <w:rPr>
          <w:rFonts w:asciiTheme="minorHAnsi" w:hAnsiTheme="minorHAnsi" w:cstheme="minorHAnsi"/>
          <w:sz w:val="22"/>
        </w:rPr>
        <w:t xml:space="preserve">) </w:t>
      </w:r>
      <w:r w:rsidR="007D4DCB" w:rsidRPr="00B34CF2">
        <w:rPr>
          <w:rFonts w:asciiTheme="minorHAnsi" w:hAnsiTheme="minorHAnsi" w:cstheme="minorHAnsi"/>
          <w:sz w:val="22"/>
        </w:rPr>
        <w:t xml:space="preserve">događanja na kojem će se predstaviti projekt široj javnosti (na početku i na kraju provedbe projekta), koje </w:t>
      </w:r>
      <w:r w:rsidRPr="00B34CF2">
        <w:rPr>
          <w:rFonts w:asciiTheme="minorHAnsi" w:hAnsiTheme="minorHAnsi" w:cstheme="minorHAnsi"/>
          <w:sz w:val="22"/>
        </w:rPr>
        <w:t xml:space="preserve">uključuje izradu poziva, pripremu </w:t>
      </w:r>
      <w:r w:rsidR="004F1130" w:rsidRPr="00B34CF2">
        <w:rPr>
          <w:rFonts w:asciiTheme="minorHAnsi" w:hAnsiTheme="minorHAnsi" w:cstheme="minorHAnsi"/>
          <w:sz w:val="22"/>
        </w:rPr>
        <w:t>.</w:t>
      </w:r>
      <w:proofErr w:type="spellStart"/>
      <w:r w:rsidR="004F1130" w:rsidRPr="00B34CF2">
        <w:rPr>
          <w:rFonts w:asciiTheme="minorHAnsi" w:hAnsiTheme="minorHAnsi" w:cstheme="minorHAnsi"/>
          <w:sz w:val="22"/>
        </w:rPr>
        <w:t>ppt</w:t>
      </w:r>
      <w:proofErr w:type="spellEnd"/>
      <w:r w:rsidR="004F1130" w:rsidRPr="00B34CF2">
        <w:rPr>
          <w:rFonts w:asciiTheme="minorHAnsi" w:hAnsiTheme="minorHAnsi" w:cstheme="minorHAnsi"/>
          <w:sz w:val="22"/>
        </w:rPr>
        <w:t xml:space="preserve"> prezentacije i sadržaja koji će se prezentirati, te</w:t>
      </w:r>
      <w:r w:rsidRPr="00B34CF2">
        <w:rPr>
          <w:rFonts w:asciiTheme="minorHAnsi" w:hAnsiTheme="minorHAnsi" w:cstheme="minorHAnsi"/>
          <w:sz w:val="22"/>
        </w:rPr>
        <w:t xml:space="preserve"> </w:t>
      </w:r>
      <w:r w:rsidR="007D4DCB" w:rsidRPr="00B34CF2">
        <w:rPr>
          <w:rFonts w:asciiTheme="minorHAnsi" w:hAnsiTheme="minorHAnsi" w:cstheme="minorHAnsi"/>
          <w:sz w:val="22"/>
        </w:rPr>
        <w:t>materijala za prezentaciju i/ili podjelu sudionicima</w:t>
      </w:r>
      <w:r w:rsidRPr="00B34CF2">
        <w:rPr>
          <w:rFonts w:asciiTheme="minorHAnsi" w:hAnsiTheme="minorHAnsi" w:cstheme="minorHAnsi"/>
          <w:sz w:val="22"/>
        </w:rPr>
        <w:t>, nabav</w:t>
      </w:r>
      <w:r w:rsidR="004F1130" w:rsidRPr="00B34CF2">
        <w:rPr>
          <w:rFonts w:asciiTheme="minorHAnsi" w:hAnsiTheme="minorHAnsi" w:cstheme="minorHAnsi"/>
          <w:sz w:val="22"/>
        </w:rPr>
        <w:t>u</w:t>
      </w:r>
      <w:r w:rsidRPr="00B34CF2">
        <w:rPr>
          <w:rFonts w:asciiTheme="minorHAnsi" w:hAnsiTheme="minorHAnsi" w:cstheme="minorHAnsi"/>
          <w:sz w:val="22"/>
        </w:rPr>
        <w:t xml:space="preserve"> i postavljanje EU zastave i zastave RH (samostojeće ili one prilagođene za stol</w:t>
      </w:r>
      <w:r w:rsidR="004F1130" w:rsidRPr="00B34CF2">
        <w:rPr>
          <w:rFonts w:asciiTheme="minorHAnsi" w:hAnsiTheme="minorHAnsi" w:cstheme="minorHAnsi"/>
          <w:sz w:val="22"/>
        </w:rPr>
        <w:t>, ovisno što je primjenjivo</w:t>
      </w:r>
      <w:r w:rsidRPr="00B34CF2">
        <w:rPr>
          <w:rFonts w:asciiTheme="minorHAnsi" w:hAnsiTheme="minorHAnsi" w:cstheme="minorHAnsi"/>
          <w:sz w:val="22"/>
        </w:rPr>
        <w:t>).</w:t>
      </w:r>
      <w:r w:rsidR="004F1130" w:rsidRPr="00B34CF2">
        <w:rPr>
          <w:rFonts w:asciiTheme="minorHAnsi" w:hAnsiTheme="minorHAnsi" w:cstheme="minorHAnsi"/>
          <w:sz w:val="22"/>
        </w:rPr>
        <w:t xml:space="preserve"> Izvršitelj je obvezan osigurati </w:t>
      </w:r>
      <w:r w:rsidR="006A2BA3" w:rsidRPr="00B34CF2">
        <w:rPr>
          <w:rFonts w:asciiTheme="minorHAnsi" w:hAnsiTheme="minorHAnsi" w:cstheme="minorHAnsi"/>
          <w:sz w:val="22"/>
        </w:rPr>
        <w:t>catering za uzvanike</w:t>
      </w:r>
      <w:r w:rsidR="00F37B65" w:rsidRPr="00B34CF2">
        <w:rPr>
          <w:rFonts w:asciiTheme="minorHAnsi" w:hAnsiTheme="minorHAnsi" w:cstheme="minorHAnsi"/>
          <w:sz w:val="22"/>
        </w:rPr>
        <w:t xml:space="preserve"> </w:t>
      </w:r>
      <w:r w:rsidR="00D96A05" w:rsidRPr="00B34CF2">
        <w:rPr>
          <w:rFonts w:asciiTheme="minorHAnsi" w:hAnsiTheme="minorHAnsi" w:cstheme="minorHAnsi"/>
          <w:sz w:val="22"/>
        </w:rPr>
        <w:t>(minimalno 30 uzvanika)</w:t>
      </w:r>
      <w:r w:rsidR="006A2BA3" w:rsidRPr="00B34CF2">
        <w:rPr>
          <w:rFonts w:asciiTheme="minorHAnsi" w:hAnsiTheme="minorHAnsi" w:cstheme="minorHAnsi"/>
          <w:sz w:val="22"/>
        </w:rPr>
        <w:t xml:space="preserve"> </w:t>
      </w:r>
      <w:r w:rsidR="003E6B5E" w:rsidRPr="00B34CF2">
        <w:rPr>
          <w:rFonts w:asciiTheme="minorHAnsi" w:hAnsiTheme="minorHAnsi" w:cstheme="minorHAnsi"/>
          <w:sz w:val="22"/>
        </w:rPr>
        <w:t>i</w:t>
      </w:r>
      <w:r w:rsidR="006A2BA3" w:rsidRPr="00B34CF2">
        <w:rPr>
          <w:rFonts w:asciiTheme="minorHAnsi" w:hAnsiTheme="minorHAnsi" w:cstheme="minorHAnsi"/>
          <w:sz w:val="22"/>
        </w:rPr>
        <w:t xml:space="preserve"> </w:t>
      </w:r>
      <w:r w:rsidR="004F1130" w:rsidRPr="00B34CF2">
        <w:rPr>
          <w:rFonts w:asciiTheme="minorHAnsi" w:hAnsiTheme="minorHAnsi" w:cstheme="minorHAnsi"/>
          <w:sz w:val="22"/>
        </w:rPr>
        <w:t>fotografiranje</w:t>
      </w:r>
      <w:r w:rsidR="003E6B5E" w:rsidRPr="00B34CF2">
        <w:rPr>
          <w:rFonts w:asciiTheme="minorHAnsi" w:hAnsiTheme="minorHAnsi" w:cstheme="minorHAnsi"/>
          <w:sz w:val="22"/>
        </w:rPr>
        <w:t>, te</w:t>
      </w:r>
      <w:r w:rsidR="004F1130" w:rsidRPr="00B34CF2">
        <w:rPr>
          <w:rFonts w:asciiTheme="minorHAnsi" w:hAnsiTheme="minorHAnsi" w:cstheme="minorHAnsi"/>
          <w:sz w:val="22"/>
        </w:rPr>
        <w:t xml:space="preserve"> dostaviti Naručitelju fotodokumentaciju s događanja</w:t>
      </w:r>
      <w:r w:rsidR="00E4445A" w:rsidRPr="00B34CF2">
        <w:rPr>
          <w:rFonts w:asciiTheme="minorHAnsi" w:hAnsiTheme="minorHAnsi" w:cstheme="minorHAnsi"/>
          <w:sz w:val="22"/>
        </w:rPr>
        <w:t xml:space="preserve"> (min. 10 fotografija visoke rezolucije)</w:t>
      </w:r>
      <w:r w:rsidR="004F1130" w:rsidRPr="00B34CF2">
        <w:rPr>
          <w:rFonts w:asciiTheme="minorHAnsi" w:hAnsiTheme="minorHAnsi" w:cstheme="minorHAnsi"/>
          <w:sz w:val="22"/>
        </w:rPr>
        <w:t>.</w:t>
      </w:r>
    </w:p>
    <w:p w14:paraId="3DF199C2" w14:textId="5AC2696E" w:rsidR="005E2E87" w:rsidRPr="00B34CF2" w:rsidRDefault="00D64FCA" w:rsidP="00D64FCA">
      <w:pPr>
        <w:rPr>
          <w:rFonts w:asciiTheme="minorHAnsi" w:hAnsiTheme="minorHAnsi" w:cstheme="minorHAnsi"/>
          <w:i/>
          <w:sz w:val="22"/>
        </w:rPr>
      </w:pPr>
      <w:r w:rsidRPr="00B34CF2">
        <w:rPr>
          <w:rFonts w:asciiTheme="minorHAnsi" w:hAnsiTheme="minorHAnsi" w:cstheme="minorHAnsi"/>
          <w:i/>
          <w:sz w:val="22"/>
        </w:rPr>
        <w:t>*</w:t>
      </w:r>
      <w:r w:rsidR="00EB3E69" w:rsidRPr="00B34CF2">
        <w:rPr>
          <w:rFonts w:asciiTheme="minorHAnsi" w:hAnsiTheme="minorHAnsi" w:cstheme="minorHAnsi"/>
          <w:i/>
          <w:sz w:val="22"/>
        </w:rPr>
        <w:t xml:space="preserve"> </w:t>
      </w:r>
      <w:r w:rsidRPr="00B34CF2">
        <w:rPr>
          <w:rFonts w:asciiTheme="minorHAnsi" w:hAnsiTheme="minorHAnsi" w:cstheme="minorHAnsi"/>
          <w:i/>
          <w:sz w:val="22"/>
        </w:rPr>
        <w:t>Napomena: Izrada i montaža privremene  informacijske i trajne ploče, sadržaja sukladno priručniku ''Informiranje, komunikacija i vidljivost projekata financiranih u okviru Europskog fonda za regionalni razvoj (EFRR), Europskog socijalnog fonda (ESF) i Kohezijskog fonda (KF) u razdoblju 2014. - 2020˝ obveza je Izvođača radova.</w:t>
      </w:r>
    </w:p>
    <w:p w14:paraId="040E4798" w14:textId="77777777" w:rsidR="00DD5346" w:rsidRPr="00B34CF2" w:rsidRDefault="00DD5346" w:rsidP="00427D87">
      <w:pPr>
        <w:rPr>
          <w:rFonts w:asciiTheme="minorHAnsi" w:hAnsiTheme="minorHAnsi" w:cstheme="minorHAnsi"/>
          <w:b/>
          <w:sz w:val="22"/>
        </w:rPr>
      </w:pPr>
    </w:p>
    <w:p w14:paraId="61908F58" w14:textId="5971F69A" w:rsidR="00455CA1" w:rsidRPr="00B34CF2" w:rsidRDefault="00455CA1" w:rsidP="00427D87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>Izvještavanje</w:t>
      </w:r>
    </w:p>
    <w:p w14:paraId="01D812C4" w14:textId="54FB6033" w:rsidR="00455CA1" w:rsidRPr="00B34CF2" w:rsidRDefault="00455CA1" w:rsidP="00455CA1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U svrhu praćenja provedbe Ugovora za pružanje usluga </w:t>
      </w:r>
      <w:r w:rsidR="00D64FCA" w:rsidRPr="00B34CF2">
        <w:rPr>
          <w:rFonts w:asciiTheme="minorHAnsi" w:hAnsiTheme="minorHAnsi" w:cstheme="minorHAnsi"/>
          <w:sz w:val="22"/>
        </w:rPr>
        <w:t xml:space="preserve">promidžbe i vidljivosti </w:t>
      </w:r>
      <w:r w:rsidR="00427D87" w:rsidRPr="00B34CF2">
        <w:rPr>
          <w:rFonts w:asciiTheme="minorHAnsi" w:hAnsiTheme="minorHAnsi" w:cstheme="minorHAnsi"/>
          <w:sz w:val="22"/>
        </w:rPr>
        <w:t xml:space="preserve">projekta sanacije </w:t>
      </w:r>
      <w:r w:rsidR="007D4DCB" w:rsidRPr="00B34CF2">
        <w:rPr>
          <w:rFonts w:asciiTheme="minorHAnsi" w:hAnsiTheme="minorHAnsi" w:cstheme="minorHAnsi"/>
          <w:sz w:val="22"/>
        </w:rPr>
        <w:t>odlagališta neopasnog otpada</w:t>
      </w:r>
      <w:r w:rsidR="00427D87" w:rsidRPr="00B34CF2">
        <w:rPr>
          <w:rFonts w:asciiTheme="minorHAnsi" w:hAnsiTheme="minorHAnsi" w:cstheme="minorHAnsi"/>
          <w:sz w:val="22"/>
        </w:rPr>
        <w:t xml:space="preserve"> „</w:t>
      </w:r>
      <w:proofErr w:type="spellStart"/>
      <w:r w:rsidR="00427D87" w:rsidRPr="00B34CF2">
        <w:rPr>
          <w:rFonts w:asciiTheme="minorHAnsi" w:hAnsiTheme="minorHAnsi" w:cstheme="minorHAnsi"/>
          <w:sz w:val="22"/>
        </w:rPr>
        <w:t>Moseć</w:t>
      </w:r>
      <w:proofErr w:type="spellEnd"/>
      <w:r w:rsidR="00427D87" w:rsidRPr="00B34CF2">
        <w:rPr>
          <w:rFonts w:asciiTheme="minorHAnsi" w:hAnsiTheme="minorHAnsi" w:cstheme="minorHAnsi"/>
          <w:sz w:val="22"/>
        </w:rPr>
        <w:t xml:space="preserve">“ u Gradu Drnišu </w:t>
      </w:r>
      <w:r w:rsidRPr="00B34CF2">
        <w:rPr>
          <w:rFonts w:asciiTheme="minorHAnsi" w:hAnsiTheme="minorHAnsi" w:cstheme="minorHAnsi"/>
          <w:sz w:val="22"/>
        </w:rPr>
        <w:t>Izvršitelj je obvezan tijekom njegova trajanja dostavljati Naručitelju</w:t>
      </w:r>
      <w:r w:rsidR="00EB3E69" w:rsidRPr="00B34CF2">
        <w:rPr>
          <w:rFonts w:asciiTheme="minorHAnsi" w:hAnsiTheme="minorHAnsi" w:cstheme="minorHAnsi"/>
          <w:sz w:val="22"/>
        </w:rPr>
        <w:t xml:space="preserve"> </w:t>
      </w:r>
      <w:r w:rsidRPr="00B34CF2">
        <w:rPr>
          <w:rFonts w:asciiTheme="minorHAnsi" w:hAnsiTheme="minorHAnsi" w:cstheme="minorHAnsi"/>
          <w:sz w:val="22"/>
        </w:rPr>
        <w:t xml:space="preserve">izvješća o provedenim aktivnostima. Izvršitelj će podnositi izvješća u formatu i sadržaju koji će dogovoriti s Naručiteljem. </w:t>
      </w:r>
    </w:p>
    <w:p w14:paraId="59549CFA" w14:textId="77777777" w:rsidR="00455CA1" w:rsidRPr="00B34CF2" w:rsidRDefault="00455CA1" w:rsidP="00455CA1">
      <w:pPr>
        <w:rPr>
          <w:rFonts w:asciiTheme="minorHAnsi" w:hAnsiTheme="minorHAnsi" w:cstheme="minorHAnsi"/>
          <w:sz w:val="22"/>
          <w:u w:val="single"/>
        </w:rPr>
      </w:pPr>
      <w:r w:rsidRPr="00B34CF2">
        <w:rPr>
          <w:rFonts w:asciiTheme="minorHAnsi" w:hAnsiTheme="minorHAnsi" w:cstheme="minorHAnsi"/>
          <w:sz w:val="22"/>
          <w:u w:val="single"/>
        </w:rPr>
        <w:t>Izvješća o provedenim aktivnostima moraju sadržavati:</w:t>
      </w:r>
    </w:p>
    <w:p w14:paraId="1E17105F" w14:textId="677F42BB" w:rsidR="00455CA1" w:rsidRPr="00B34CF2" w:rsidRDefault="00455CA1" w:rsidP="00313F39">
      <w:pPr>
        <w:pStyle w:val="Odlomakpopisa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opis provedenih aktivnosti u izvještajnom razdoblju sa svim popratnim dokumentima (</w:t>
      </w:r>
      <w:r w:rsidR="00D64FCA" w:rsidRPr="00B34CF2">
        <w:rPr>
          <w:rFonts w:asciiTheme="minorHAnsi" w:hAnsiTheme="minorHAnsi" w:cstheme="minorHAnsi"/>
          <w:sz w:val="22"/>
        </w:rPr>
        <w:t xml:space="preserve">status provedbe </w:t>
      </w:r>
      <w:r w:rsidRPr="00B34CF2">
        <w:rPr>
          <w:rFonts w:asciiTheme="minorHAnsi" w:hAnsiTheme="minorHAnsi" w:cstheme="minorHAnsi"/>
          <w:sz w:val="22"/>
        </w:rPr>
        <w:t>plan</w:t>
      </w:r>
      <w:r w:rsidR="00D64FCA" w:rsidRPr="00B34CF2">
        <w:rPr>
          <w:rFonts w:asciiTheme="minorHAnsi" w:hAnsiTheme="minorHAnsi" w:cstheme="minorHAnsi"/>
          <w:sz w:val="22"/>
        </w:rPr>
        <w:t xml:space="preserve">a promidžbe i vidljivosti </w:t>
      </w:r>
      <w:r w:rsidRPr="00B34CF2">
        <w:rPr>
          <w:rFonts w:asciiTheme="minorHAnsi" w:hAnsiTheme="minorHAnsi" w:cstheme="minorHAnsi"/>
          <w:sz w:val="22"/>
        </w:rPr>
        <w:t>i dokazi provedenih aktivnosti);</w:t>
      </w:r>
    </w:p>
    <w:p w14:paraId="75DBC60E" w14:textId="57ADDA22" w:rsidR="00455CA1" w:rsidRPr="00B34CF2" w:rsidRDefault="00455CA1" w:rsidP="00313F39">
      <w:pPr>
        <w:pStyle w:val="Odlomakpopisa"/>
        <w:numPr>
          <w:ilvl w:val="0"/>
          <w:numId w:val="8"/>
        </w:numPr>
        <w:ind w:left="714" w:hanging="357"/>
        <w:contextualSpacing w:val="0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status projekta odnosno prikaz napretka provedbe projekta (tehničko/financijski) u odnosu na usvojene pokazatelje (planirane aktivnosti i rokovi po Ugovor</w:t>
      </w:r>
      <w:r w:rsidR="00D64FCA" w:rsidRPr="00B34CF2">
        <w:rPr>
          <w:rFonts w:asciiTheme="minorHAnsi" w:hAnsiTheme="minorHAnsi" w:cstheme="minorHAnsi"/>
          <w:sz w:val="22"/>
        </w:rPr>
        <w:t>u</w:t>
      </w:r>
      <w:r w:rsidRPr="00B34CF2">
        <w:rPr>
          <w:rFonts w:asciiTheme="minorHAnsi" w:hAnsiTheme="minorHAnsi" w:cstheme="minorHAnsi"/>
          <w:sz w:val="22"/>
        </w:rPr>
        <w:t xml:space="preserve">). </w:t>
      </w:r>
    </w:p>
    <w:p w14:paraId="5899C9B2" w14:textId="77777777" w:rsidR="00427D87" w:rsidRPr="00B34CF2" w:rsidRDefault="00427D87" w:rsidP="00427D87">
      <w:pPr>
        <w:rPr>
          <w:rFonts w:asciiTheme="minorHAnsi" w:hAnsiTheme="minorHAnsi" w:cstheme="minorHAnsi"/>
          <w:b/>
          <w:sz w:val="22"/>
        </w:rPr>
      </w:pPr>
    </w:p>
    <w:p w14:paraId="00456608" w14:textId="6452D3F2" w:rsidR="00455CA1" w:rsidRPr="00B34CF2" w:rsidRDefault="00455CA1" w:rsidP="00427D87">
      <w:pPr>
        <w:rPr>
          <w:rFonts w:asciiTheme="minorHAnsi" w:hAnsiTheme="minorHAnsi" w:cstheme="minorHAnsi"/>
          <w:b/>
          <w:sz w:val="22"/>
        </w:rPr>
      </w:pPr>
      <w:r w:rsidRPr="00B34CF2">
        <w:rPr>
          <w:rFonts w:asciiTheme="minorHAnsi" w:hAnsiTheme="minorHAnsi" w:cstheme="minorHAnsi"/>
          <w:b/>
          <w:sz w:val="22"/>
        </w:rPr>
        <w:t>Sadržaji koje osigurava Izvršitelj</w:t>
      </w:r>
    </w:p>
    <w:p w14:paraId="0167F9EE" w14:textId="77777777" w:rsidR="00455CA1" w:rsidRPr="00B34CF2" w:rsidRDefault="00455CA1" w:rsidP="00455CA1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lastRenderedPageBreak/>
        <w:t xml:space="preserve">Izvršitelj mora osigurati da njegovo stručno osoblje ima adekvatnu podršku i opremu. </w:t>
      </w:r>
    </w:p>
    <w:p w14:paraId="0CEBDBB5" w14:textId="407DC6F2" w:rsidR="00455CA1" w:rsidRPr="00B34CF2" w:rsidRDefault="00455CA1" w:rsidP="00455CA1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Svi troškovi za opremu te administrativnu i logističku podršku biti će u nadležnosti Izvršitelja, uključujući:</w:t>
      </w:r>
    </w:p>
    <w:p w14:paraId="4F58721A" w14:textId="77777777" w:rsidR="00455CA1" w:rsidRPr="00B34CF2" w:rsidRDefault="00455CA1" w:rsidP="00313F39">
      <w:pPr>
        <w:pStyle w:val="Odlomakpopisa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sve troškove koji proizlaze iz aktivnosti njegovog stručnog kadra tijekom ugovornog razdoblja, uključujući smještaj, dnevnice, prijevoz, osiguranje, itd.;</w:t>
      </w:r>
    </w:p>
    <w:p w14:paraId="0F1E2936" w14:textId="71ADA993" w:rsidR="00455CA1" w:rsidRPr="00B34CF2" w:rsidRDefault="00455CA1" w:rsidP="00313F39">
      <w:pPr>
        <w:pStyle w:val="Odlomakpopisa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 xml:space="preserve">automobile, opremu, uredski materijal te hardver i softver kako bi </w:t>
      </w:r>
      <w:r w:rsidR="00EB3E69" w:rsidRPr="00B34CF2">
        <w:rPr>
          <w:rFonts w:asciiTheme="minorHAnsi" w:hAnsiTheme="minorHAnsi" w:cstheme="minorHAnsi"/>
          <w:sz w:val="22"/>
        </w:rPr>
        <w:t xml:space="preserve">tim Izvršitelja </w:t>
      </w:r>
      <w:r w:rsidRPr="00B34CF2">
        <w:rPr>
          <w:rFonts w:asciiTheme="minorHAnsi" w:hAnsiTheme="minorHAnsi" w:cstheme="minorHAnsi"/>
          <w:sz w:val="22"/>
        </w:rPr>
        <w:t>bio u potpunosti funkcionalan;</w:t>
      </w:r>
    </w:p>
    <w:p w14:paraId="131FC753" w14:textId="77777777" w:rsidR="00455CA1" w:rsidRPr="00B34CF2" w:rsidRDefault="00455CA1" w:rsidP="00313F39">
      <w:pPr>
        <w:pStyle w:val="Odlomakpopisa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sve troškove komunikacije, uključujući faks, e-mail, telefon itd.;</w:t>
      </w:r>
    </w:p>
    <w:p w14:paraId="452E724D" w14:textId="77777777" w:rsidR="00455CA1" w:rsidRPr="00B34CF2" w:rsidRDefault="00455CA1" w:rsidP="00313F39">
      <w:pPr>
        <w:pStyle w:val="Odlomakpopisa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sve troškove pismenog i usmenog prijevoda te javnobilježničke troškove;</w:t>
      </w:r>
    </w:p>
    <w:p w14:paraId="21E3C1D3" w14:textId="77777777" w:rsidR="00455CA1" w:rsidRPr="00B34CF2" w:rsidRDefault="00455CA1" w:rsidP="00313F39">
      <w:pPr>
        <w:pStyle w:val="Odlomakpopisa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svu opremu, instrumente, usluge i logističku podršku potrebne za provedbu ugovora, te sve troškove koji nastanu prilikom njegove pripreme dokumenata i nacrta, kopiranja, ispisa, itd.;</w:t>
      </w:r>
    </w:p>
    <w:p w14:paraId="398F8AED" w14:textId="77777777" w:rsidR="00455CA1" w:rsidRPr="00B34CF2" w:rsidRDefault="00455CA1" w:rsidP="00313F39">
      <w:pPr>
        <w:pStyle w:val="Odlomakpopisa"/>
        <w:numPr>
          <w:ilvl w:val="0"/>
          <w:numId w:val="11"/>
        </w:numPr>
        <w:spacing w:before="0" w:line="276" w:lineRule="auto"/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ostalu opremu, instrumente, usluge i logističku podršku potrebnu za provedbu ugovora.</w:t>
      </w:r>
    </w:p>
    <w:p w14:paraId="1D296C4A" w14:textId="2CB7FD9A" w:rsidR="003C00E9" w:rsidRPr="00B34CF2" w:rsidRDefault="00455CA1" w:rsidP="00427D87">
      <w:pPr>
        <w:rPr>
          <w:rFonts w:asciiTheme="minorHAnsi" w:hAnsiTheme="minorHAnsi" w:cstheme="minorHAnsi"/>
          <w:sz w:val="22"/>
        </w:rPr>
      </w:pPr>
      <w:r w:rsidRPr="00B34CF2">
        <w:rPr>
          <w:rFonts w:asciiTheme="minorHAnsi" w:hAnsiTheme="minorHAnsi" w:cstheme="minorHAnsi"/>
          <w:sz w:val="22"/>
        </w:rPr>
        <w:t>Izvršitelj je dužan ishoditi sve potrebne dozvole, suglasnosti, plaćati sve naknade i doprinose, kao i sve druge elemente potrebne za rad svog stručnog osoblja koji on angažira o svom trošku za izvršenje ovog Ugovora.</w:t>
      </w:r>
    </w:p>
    <w:p w14:paraId="2988CD7F" w14:textId="00403EBB" w:rsidR="002E435A" w:rsidRPr="00B34CF2" w:rsidRDefault="002E435A" w:rsidP="00427D87">
      <w:pPr>
        <w:rPr>
          <w:rFonts w:asciiTheme="minorHAnsi" w:hAnsiTheme="minorHAnsi" w:cstheme="minorHAnsi"/>
          <w:sz w:val="22"/>
        </w:rPr>
      </w:pPr>
    </w:p>
    <w:p w14:paraId="685A9C62" w14:textId="262791DC" w:rsidR="002E435A" w:rsidRPr="00B34CF2" w:rsidRDefault="002E435A" w:rsidP="002E435A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2"/>
        </w:rPr>
      </w:pPr>
      <w:r w:rsidRPr="00B34CF2">
        <w:rPr>
          <w:rFonts w:asciiTheme="minorHAnsi" w:hAnsiTheme="minorHAnsi" w:cstheme="minorHAnsi"/>
          <w:b/>
          <w:i/>
          <w:sz w:val="22"/>
        </w:rPr>
        <w:t>Napomena: Svi informativno-</w:t>
      </w:r>
      <w:r w:rsidR="00D96A05" w:rsidRPr="00B34CF2">
        <w:rPr>
          <w:rFonts w:asciiTheme="minorHAnsi" w:hAnsiTheme="minorHAnsi" w:cstheme="minorHAnsi"/>
          <w:b/>
          <w:i/>
          <w:sz w:val="22"/>
        </w:rPr>
        <w:t>promotivni</w:t>
      </w:r>
      <w:r w:rsidRPr="00B34CF2">
        <w:rPr>
          <w:rFonts w:asciiTheme="minorHAnsi" w:hAnsiTheme="minorHAnsi" w:cstheme="minorHAnsi"/>
          <w:b/>
          <w:i/>
          <w:sz w:val="22"/>
        </w:rPr>
        <w:t xml:space="preserve"> materijali moraju biti izrađeni sa istaknutim fontom i primjerenim bojama za osobe sa oštećenim i slabijim vidom, dok sadržaj na istima treba biti primjeren i jednostavan za čitanje i razumijevanje za osobe s intelektualnim teškoćama.</w:t>
      </w:r>
    </w:p>
    <w:p w14:paraId="3BB34B40" w14:textId="77777777" w:rsidR="002E435A" w:rsidRPr="00B34CF2" w:rsidRDefault="002E435A" w:rsidP="00427D87">
      <w:pPr>
        <w:rPr>
          <w:rFonts w:asciiTheme="minorHAnsi" w:eastAsia="Times New Roman" w:hAnsiTheme="minorHAnsi" w:cstheme="minorHAnsi"/>
          <w:color w:val="FF0000"/>
          <w:sz w:val="22"/>
        </w:rPr>
      </w:pPr>
    </w:p>
    <w:sectPr w:rsidR="002E435A" w:rsidRPr="00B34CF2" w:rsidSect="00B34CF2">
      <w:headerReference w:type="first" r:id="rId12"/>
      <w:footerReference w:type="first" r:id="rId13"/>
      <w:pgSz w:w="11906" w:h="16838"/>
      <w:pgMar w:top="1418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6B463B" w14:textId="77777777" w:rsidR="00C42F87" w:rsidRDefault="00C42F87" w:rsidP="00770265">
      <w:pPr>
        <w:spacing w:before="0" w:after="0" w:line="240" w:lineRule="auto"/>
      </w:pPr>
      <w:r>
        <w:separator/>
      </w:r>
    </w:p>
  </w:endnote>
  <w:endnote w:type="continuationSeparator" w:id="0">
    <w:p w14:paraId="0949EA1A" w14:textId="77777777" w:rsidR="00C42F87" w:rsidRDefault="00C42F87" w:rsidP="0077026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781C1A" w14:textId="77777777" w:rsidR="00347F45" w:rsidRDefault="00347F45" w:rsidP="00347F45">
    <w:pPr>
      <w:pStyle w:val="TD-Footer"/>
      <w:pBdr>
        <w:top w:val="single" w:sz="4" w:space="0" w:color="808080" w:themeColor="background1" w:themeShade="80"/>
      </w:pBdr>
      <w:tabs>
        <w:tab w:val="right" w:pos="8931"/>
      </w:tabs>
      <w:spacing w:after="0"/>
    </w:pPr>
    <w:r w:rsidRPr="00631150">
      <w:rPr>
        <w:rFonts w:ascii="Tahoma" w:hAnsi="Tahoma" w:cs="Tahoma"/>
        <w:color w:val="808080" w:themeColor="background1" w:themeShade="80"/>
      </w:rPr>
      <w:tab/>
    </w:r>
    <w:r w:rsidRPr="00631150">
      <w:rPr>
        <w:rFonts w:ascii="Tahoma" w:hAnsi="Tahoma" w:cs="Tahoma"/>
        <w:color w:val="808080" w:themeColor="background1" w:themeShade="80"/>
      </w:rPr>
      <w:t xml:space="preserve">Stranica </w:t>
    </w:r>
    <w:r w:rsidRPr="00631150">
      <w:rPr>
        <w:rFonts w:ascii="Tahoma" w:eastAsia="Times New Roman" w:hAnsi="Tahoma" w:cs="Tahoma"/>
        <w:color w:val="808080"/>
      </w:rPr>
      <w:fldChar w:fldCharType="begin"/>
    </w:r>
    <w:r w:rsidRPr="00631150">
      <w:rPr>
        <w:rFonts w:ascii="Tahoma" w:eastAsia="Times New Roman" w:hAnsi="Tahoma" w:cs="Tahoma"/>
        <w:color w:val="808080"/>
      </w:rPr>
      <w:instrText xml:space="preserve"> PAGE   \* MERGEFORMAT </w:instrText>
    </w:r>
    <w:r w:rsidRPr="00631150">
      <w:rPr>
        <w:rFonts w:ascii="Tahoma" w:eastAsia="Times New Roman" w:hAnsi="Tahoma" w:cs="Tahoma"/>
        <w:color w:val="808080"/>
      </w:rPr>
      <w:fldChar w:fldCharType="separate"/>
    </w:r>
    <w:r w:rsidR="00B60F98">
      <w:rPr>
        <w:rFonts w:ascii="Tahoma" w:eastAsia="Times New Roman" w:hAnsi="Tahoma" w:cs="Tahoma"/>
        <w:noProof/>
        <w:color w:val="808080"/>
      </w:rPr>
      <w:t>5</w:t>
    </w:r>
    <w:r w:rsidRPr="00631150">
      <w:rPr>
        <w:rFonts w:ascii="Tahoma" w:eastAsia="Times New Roman" w:hAnsi="Tahoma" w:cs="Tahoma"/>
        <w:noProof/>
        <w:color w:val="808080"/>
      </w:rPr>
      <w:fldChar w:fldCharType="end"/>
    </w:r>
  </w:p>
  <w:p w14:paraId="3ADAE418" w14:textId="7E908B2E" w:rsidR="00347F45" w:rsidRDefault="00B34CF2">
    <w:pPr>
      <w:pStyle w:val="Podnoje"/>
    </w:pPr>
    <w:r>
      <w:rPr>
        <w:noProof/>
        <w:lang w:eastAsia="hr-HR"/>
      </w:rPr>
      <w:drawing>
        <wp:inline distT="0" distB="0" distL="0" distR="0" wp14:anchorId="0A385BAD" wp14:editId="2F21A7FB">
          <wp:extent cx="5759623" cy="981075"/>
          <wp:effectExtent l="0" t="0" r="0" b="0"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175F" w14:textId="1FC46909" w:rsidR="003C00E9" w:rsidRDefault="003C00E9">
    <w:pPr>
      <w:pStyle w:val="Podnoje"/>
    </w:pPr>
    <w:r>
      <w:rPr>
        <w:noProof/>
        <w:lang w:eastAsia="hr-HR"/>
      </w:rPr>
      <w:drawing>
        <wp:inline distT="0" distB="0" distL="0" distR="0" wp14:anchorId="4CFE49B9" wp14:editId="525F14AC">
          <wp:extent cx="5759623" cy="981075"/>
          <wp:effectExtent l="0" t="0" r="0" b="0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B4474" w14:textId="77777777" w:rsidR="003C00E9" w:rsidRPr="00631150" w:rsidRDefault="003C00E9" w:rsidP="003C00E9">
    <w:pPr>
      <w:pStyle w:val="TD-Footer"/>
      <w:pBdr>
        <w:top w:val="single" w:sz="4" w:space="0" w:color="808080" w:themeColor="background1" w:themeShade="80"/>
      </w:pBdr>
      <w:tabs>
        <w:tab w:val="right" w:pos="8931"/>
      </w:tabs>
      <w:spacing w:after="0"/>
      <w:jc w:val="right"/>
      <w:rPr>
        <w:rFonts w:ascii="Tahoma" w:hAnsi="Tahoma" w:cs="Tahoma"/>
        <w:color w:val="808080" w:themeColor="background1" w:themeShade="80"/>
      </w:rPr>
    </w:pPr>
    <w:r w:rsidRPr="00631150">
      <w:rPr>
        <w:rFonts w:ascii="Tahoma" w:hAnsi="Tahoma" w:cs="Tahoma"/>
        <w:color w:val="808080" w:themeColor="background1" w:themeShade="80"/>
      </w:rPr>
      <w:t xml:space="preserve">Stranica </w:t>
    </w:r>
    <w:r w:rsidRPr="00631150">
      <w:rPr>
        <w:rFonts w:ascii="Tahoma" w:eastAsia="Times New Roman" w:hAnsi="Tahoma" w:cs="Tahoma"/>
        <w:color w:val="808080"/>
      </w:rPr>
      <w:fldChar w:fldCharType="begin"/>
    </w:r>
    <w:r w:rsidRPr="00631150">
      <w:rPr>
        <w:rFonts w:ascii="Tahoma" w:eastAsia="Times New Roman" w:hAnsi="Tahoma" w:cs="Tahoma"/>
        <w:color w:val="808080"/>
      </w:rPr>
      <w:instrText xml:space="preserve"> PAGE   \* MERGEFORMAT </w:instrText>
    </w:r>
    <w:r w:rsidRPr="00631150">
      <w:rPr>
        <w:rFonts w:ascii="Tahoma" w:eastAsia="Times New Roman" w:hAnsi="Tahoma" w:cs="Tahoma"/>
        <w:color w:val="808080"/>
      </w:rPr>
      <w:fldChar w:fldCharType="separate"/>
    </w:r>
    <w:r w:rsidR="00B60F98">
      <w:rPr>
        <w:rFonts w:ascii="Tahoma" w:eastAsia="Times New Roman" w:hAnsi="Tahoma" w:cs="Tahoma"/>
        <w:noProof/>
        <w:color w:val="808080"/>
      </w:rPr>
      <w:t>1</w:t>
    </w:r>
    <w:r w:rsidRPr="00631150">
      <w:rPr>
        <w:rFonts w:ascii="Tahoma" w:eastAsia="Times New Roman" w:hAnsi="Tahoma" w:cs="Tahoma"/>
        <w:noProof/>
        <w:color w:val="808080"/>
      </w:rPr>
      <w:fldChar w:fldCharType="end"/>
    </w:r>
  </w:p>
  <w:p w14:paraId="7E46B34C" w14:textId="52CB56FB" w:rsidR="003C00E9" w:rsidRDefault="00B34CF2">
    <w:pPr>
      <w:pStyle w:val="Podnoje"/>
    </w:pPr>
    <w:r>
      <w:rPr>
        <w:noProof/>
        <w:lang w:eastAsia="hr-HR"/>
      </w:rPr>
      <w:drawing>
        <wp:inline distT="0" distB="0" distL="0" distR="0" wp14:anchorId="5DD4BC70" wp14:editId="454E0C0C">
          <wp:extent cx="5759623" cy="981075"/>
          <wp:effectExtent l="0" t="0" r="0" b="0"/>
          <wp:docPr id="3" name="Slika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44" t="-209" r="-44" b="19362"/>
                  <a:stretch/>
                </pic:blipFill>
                <pic:spPr bwMode="auto">
                  <a:xfrm>
                    <a:off x="0" y="0"/>
                    <a:ext cx="5760720" cy="981262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1CDB5" w14:textId="77777777" w:rsidR="00C42F87" w:rsidRDefault="00C42F87" w:rsidP="00770265">
      <w:pPr>
        <w:spacing w:before="0" w:after="0" w:line="240" w:lineRule="auto"/>
      </w:pPr>
      <w:r>
        <w:separator/>
      </w:r>
    </w:p>
  </w:footnote>
  <w:footnote w:type="continuationSeparator" w:id="0">
    <w:p w14:paraId="5B3FE19D" w14:textId="77777777" w:rsidR="00C42F87" w:rsidRDefault="00C42F87" w:rsidP="0077026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F2BDD" w14:textId="3B145792" w:rsidR="00E55757" w:rsidRPr="006A7F0C" w:rsidRDefault="00E55757" w:rsidP="00E55757">
    <w:pPr>
      <w:pBdr>
        <w:bottom w:val="single" w:sz="4" w:space="1" w:color="808080"/>
      </w:pBdr>
      <w:spacing w:after="0"/>
      <w:jc w:val="center"/>
      <w:rPr>
        <w:rFonts w:eastAsia="Times New Roman" w:cs="Tahoma"/>
        <w:color w:val="808080"/>
        <w:sz w:val="18"/>
        <w:szCs w:val="18"/>
        <w:lang w:eastAsia="sl-SI"/>
      </w:rPr>
    </w:pPr>
    <w:r>
      <w:rPr>
        <w:rFonts w:eastAsia="Calibri" w:cs="Tahoma"/>
        <w:color w:val="808080"/>
        <w:sz w:val="18"/>
        <w:szCs w:val="18"/>
        <w:lang w:eastAsia="sl-SI"/>
      </w:rPr>
      <w:t xml:space="preserve">Poziv na dostavu ponuda </w:t>
    </w:r>
    <w:r w:rsidRPr="006A7F0C">
      <w:rPr>
        <w:rFonts w:eastAsia="Calibri" w:cs="Tahoma"/>
        <w:color w:val="808080"/>
        <w:sz w:val="18"/>
        <w:szCs w:val="18"/>
        <w:lang w:eastAsia="sl-SI"/>
      </w:rPr>
      <w:t>za uslug</w:t>
    </w:r>
    <w:r>
      <w:rPr>
        <w:rFonts w:eastAsia="Calibri" w:cs="Tahoma"/>
        <w:color w:val="808080"/>
        <w:sz w:val="18"/>
        <w:szCs w:val="18"/>
        <w:lang w:eastAsia="sl-SI"/>
      </w:rPr>
      <w:t>u</w:t>
    </w:r>
    <w:r w:rsidRPr="006A7F0C">
      <w:rPr>
        <w:rFonts w:eastAsia="Calibri" w:cs="Tahoma"/>
        <w:color w:val="808080"/>
        <w:sz w:val="18"/>
        <w:szCs w:val="18"/>
        <w:lang w:eastAsia="sl-SI"/>
      </w:rPr>
      <w:t xml:space="preserve"> </w:t>
    </w:r>
    <w:r w:rsidR="00D64FCA">
      <w:rPr>
        <w:rFonts w:eastAsia="Calibri" w:cs="Tahoma"/>
        <w:color w:val="808080"/>
        <w:sz w:val="18"/>
        <w:szCs w:val="18"/>
        <w:lang w:eastAsia="sl-SI"/>
      </w:rPr>
      <w:t>promidžbe i vidljivosti</w:t>
    </w:r>
    <w:r>
      <w:rPr>
        <w:rFonts w:eastAsia="Calibri" w:cs="Tahoma"/>
        <w:color w:val="808080"/>
        <w:sz w:val="18"/>
        <w:szCs w:val="18"/>
        <w:lang w:eastAsia="sl-SI"/>
      </w:rPr>
      <w:t xml:space="preserve"> projekta sanacije odlagališta </w:t>
    </w:r>
    <w:r w:rsidR="00D96DB7">
      <w:rPr>
        <w:rFonts w:eastAsia="Calibri" w:cs="Tahoma"/>
        <w:color w:val="808080"/>
        <w:sz w:val="18"/>
        <w:szCs w:val="18"/>
        <w:lang w:eastAsia="sl-SI"/>
      </w:rPr>
      <w:t xml:space="preserve">neopasnog </w:t>
    </w:r>
    <w:r>
      <w:rPr>
        <w:rFonts w:eastAsia="Calibri" w:cs="Tahoma"/>
        <w:color w:val="808080"/>
        <w:sz w:val="18"/>
        <w:szCs w:val="18"/>
        <w:lang w:eastAsia="sl-SI"/>
      </w:rPr>
      <w:t>otpada „</w:t>
    </w:r>
    <w:proofErr w:type="spellStart"/>
    <w:r>
      <w:rPr>
        <w:rFonts w:eastAsia="Calibri" w:cs="Tahoma"/>
        <w:color w:val="808080"/>
        <w:sz w:val="18"/>
        <w:szCs w:val="18"/>
        <w:lang w:eastAsia="sl-SI"/>
      </w:rPr>
      <w:t>Moseć</w:t>
    </w:r>
    <w:proofErr w:type="spellEnd"/>
    <w:r>
      <w:rPr>
        <w:rFonts w:eastAsia="Calibri" w:cs="Tahoma"/>
        <w:color w:val="808080"/>
        <w:sz w:val="18"/>
        <w:szCs w:val="18"/>
        <w:lang w:eastAsia="sl-SI"/>
      </w:rPr>
      <w:t>“ u Gradu Drnišu</w:t>
    </w:r>
  </w:p>
  <w:p w14:paraId="14528D76" w14:textId="77777777" w:rsidR="00E55757" w:rsidRDefault="00E55757" w:rsidP="00E55757">
    <w:pPr>
      <w:pStyle w:val="Zaglavlje"/>
    </w:pPr>
  </w:p>
  <w:p w14:paraId="4059E870" w14:textId="65CA0582" w:rsidR="008E3A66" w:rsidRPr="00E55757" w:rsidRDefault="008E3A66" w:rsidP="00E55757">
    <w:pPr>
      <w:pStyle w:val="Zaglavlj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28C14C" w14:textId="14766A87" w:rsidR="00C10C8A" w:rsidRPr="006A7F0C" w:rsidRDefault="00C10C8A" w:rsidP="00C10C8A">
    <w:pPr>
      <w:pBdr>
        <w:bottom w:val="single" w:sz="4" w:space="1" w:color="808080"/>
      </w:pBdr>
      <w:spacing w:after="0"/>
      <w:jc w:val="center"/>
      <w:rPr>
        <w:rFonts w:eastAsia="Times New Roman" w:cs="Tahoma"/>
        <w:color w:val="808080"/>
        <w:sz w:val="18"/>
        <w:szCs w:val="18"/>
        <w:lang w:eastAsia="sl-SI"/>
      </w:rPr>
    </w:pPr>
    <w:r>
      <w:rPr>
        <w:rFonts w:eastAsia="Calibri" w:cs="Tahoma"/>
        <w:color w:val="808080"/>
        <w:sz w:val="18"/>
        <w:szCs w:val="18"/>
        <w:lang w:eastAsia="sl-SI"/>
      </w:rPr>
      <w:t xml:space="preserve">Poziv na dostavu ponuda </w:t>
    </w:r>
    <w:r w:rsidRPr="006A7F0C">
      <w:rPr>
        <w:rFonts w:eastAsia="Calibri" w:cs="Tahoma"/>
        <w:color w:val="808080"/>
        <w:sz w:val="18"/>
        <w:szCs w:val="18"/>
        <w:lang w:eastAsia="sl-SI"/>
      </w:rPr>
      <w:t>za uslug</w:t>
    </w:r>
    <w:r>
      <w:rPr>
        <w:rFonts w:eastAsia="Calibri" w:cs="Tahoma"/>
        <w:color w:val="808080"/>
        <w:sz w:val="18"/>
        <w:szCs w:val="18"/>
        <w:lang w:eastAsia="sl-SI"/>
      </w:rPr>
      <w:t>u</w:t>
    </w:r>
    <w:r w:rsidRPr="006A7F0C">
      <w:rPr>
        <w:rFonts w:eastAsia="Calibri" w:cs="Tahoma"/>
        <w:color w:val="808080"/>
        <w:sz w:val="18"/>
        <w:szCs w:val="18"/>
        <w:lang w:eastAsia="sl-SI"/>
      </w:rPr>
      <w:t xml:space="preserve"> </w:t>
    </w:r>
    <w:r w:rsidR="00B779EE" w:rsidRPr="00B779EE">
      <w:rPr>
        <w:rFonts w:eastAsia="Calibri" w:cs="Tahoma"/>
        <w:color w:val="808080"/>
        <w:sz w:val="18"/>
        <w:szCs w:val="18"/>
        <w:lang w:eastAsia="sl-SI"/>
      </w:rPr>
      <w:t xml:space="preserve">promidžbe i vidljivosti </w:t>
    </w:r>
    <w:r>
      <w:rPr>
        <w:rFonts w:eastAsia="Calibri" w:cs="Tahoma"/>
        <w:color w:val="808080"/>
        <w:sz w:val="18"/>
        <w:szCs w:val="18"/>
        <w:lang w:eastAsia="sl-SI"/>
      </w:rPr>
      <w:t xml:space="preserve">projekta sanacije odlagališta </w:t>
    </w:r>
    <w:r w:rsidR="007D4DCB">
      <w:rPr>
        <w:rFonts w:eastAsia="Calibri" w:cs="Tahoma"/>
        <w:color w:val="808080"/>
        <w:sz w:val="18"/>
        <w:szCs w:val="18"/>
        <w:lang w:eastAsia="sl-SI"/>
      </w:rPr>
      <w:t xml:space="preserve">neopasnog </w:t>
    </w:r>
    <w:r>
      <w:rPr>
        <w:rFonts w:eastAsia="Calibri" w:cs="Tahoma"/>
        <w:color w:val="808080"/>
        <w:sz w:val="18"/>
        <w:szCs w:val="18"/>
        <w:lang w:eastAsia="sl-SI"/>
      </w:rPr>
      <w:t>otpada „</w:t>
    </w:r>
    <w:proofErr w:type="spellStart"/>
    <w:r>
      <w:rPr>
        <w:rFonts w:eastAsia="Calibri" w:cs="Tahoma"/>
        <w:color w:val="808080"/>
        <w:sz w:val="18"/>
        <w:szCs w:val="18"/>
        <w:lang w:eastAsia="sl-SI"/>
      </w:rPr>
      <w:t>Moseć</w:t>
    </w:r>
    <w:proofErr w:type="spellEnd"/>
    <w:r>
      <w:rPr>
        <w:rFonts w:eastAsia="Calibri" w:cs="Tahoma"/>
        <w:color w:val="808080"/>
        <w:sz w:val="18"/>
        <w:szCs w:val="18"/>
        <w:lang w:eastAsia="sl-SI"/>
      </w:rPr>
      <w:t>“ u Gradu Drnišu</w:t>
    </w:r>
  </w:p>
  <w:p w14:paraId="7E8C7977" w14:textId="77777777" w:rsidR="00C10C8A" w:rsidRPr="00575B7D" w:rsidRDefault="00C10C8A" w:rsidP="00C10C8A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B0F08A2C"/>
    <w:lvl w:ilvl="0">
      <w:start w:val="1"/>
      <w:numFmt w:val="bullet"/>
      <w:pStyle w:val="Grafikeoznak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C13127"/>
    <w:multiLevelType w:val="hybridMultilevel"/>
    <w:tmpl w:val="C05AB4E8"/>
    <w:lvl w:ilvl="0" w:tplc="623639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944E1"/>
    <w:multiLevelType w:val="hybridMultilevel"/>
    <w:tmpl w:val="9E8E3BF0"/>
    <w:lvl w:ilvl="0" w:tplc="5FCA5E6A">
      <w:numFmt w:val="bullet"/>
      <w:lvlText w:val="•"/>
      <w:lvlJc w:val="left"/>
      <w:pPr>
        <w:ind w:left="144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00844F5"/>
    <w:multiLevelType w:val="hybridMultilevel"/>
    <w:tmpl w:val="76FE70CC"/>
    <w:lvl w:ilvl="0" w:tplc="623639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BA51CF"/>
    <w:multiLevelType w:val="hybridMultilevel"/>
    <w:tmpl w:val="24D8E844"/>
    <w:lvl w:ilvl="0" w:tplc="623639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A190D"/>
    <w:multiLevelType w:val="hybridMultilevel"/>
    <w:tmpl w:val="2AF43E0C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975FD"/>
    <w:multiLevelType w:val="hybridMultilevel"/>
    <w:tmpl w:val="7A385BCE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40677F"/>
    <w:multiLevelType w:val="hybridMultilevel"/>
    <w:tmpl w:val="A24E2ED4"/>
    <w:lvl w:ilvl="0" w:tplc="623639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C811D4"/>
    <w:multiLevelType w:val="hybridMultilevel"/>
    <w:tmpl w:val="D78CC8E4"/>
    <w:lvl w:ilvl="0" w:tplc="4A180D9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476C25"/>
    <w:multiLevelType w:val="hybridMultilevel"/>
    <w:tmpl w:val="A8AA1710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C9443E"/>
    <w:multiLevelType w:val="hybridMultilevel"/>
    <w:tmpl w:val="85C692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C9075C"/>
    <w:multiLevelType w:val="hybridMultilevel"/>
    <w:tmpl w:val="F8904F5A"/>
    <w:lvl w:ilvl="0" w:tplc="D522FF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7922F0"/>
    <w:multiLevelType w:val="hybridMultilevel"/>
    <w:tmpl w:val="9E6E830E"/>
    <w:lvl w:ilvl="0" w:tplc="623639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5FCA5E6A">
      <w:numFmt w:val="bullet"/>
      <w:lvlText w:val="•"/>
      <w:lvlJc w:val="left"/>
      <w:pPr>
        <w:ind w:left="1440" w:hanging="360"/>
      </w:pPr>
      <w:rPr>
        <w:rFonts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D80751"/>
    <w:multiLevelType w:val="hybridMultilevel"/>
    <w:tmpl w:val="F81614C2"/>
    <w:lvl w:ilvl="0" w:tplc="BF4A1912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DC3B5D"/>
    <w:multiLevelType w:val="hybridMultilevel"/>
    <w:tmpl w:val="70CE058E"/>
    <w:lvl w:ilvl="0" w:tplc="8124A652">
      <w:start w:val="3"/>
      <w:numFmt w:val="bullet"/>
      <w:lvlText w:val="-"/>
      <w:lvlJc w:val="left"/>
      <w:pPr>
        <w:ind w:left="720" w:hanging="360"/>
      </w:pPr>
      <w:rPr>
        <w:rFonts w:ascii="Calibri" w:eastAsia="DengXi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F83BAC"/>
    <w:multiLevelType w:val="hybridMultilevel"/>
    <w:tmpl w:val="082245BC"/>
    <w:lvl w:ilvl="0" w:tplc="62363954">
      <w:start w:val="1"/>
      <w:numFmt w:val="bullet"/>
      <w:lvlText w:val="­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F647A"/>
    <w:multiLevelType w:val="hybridMultilevel"/>
    <w:tmpl w:val="EB40AFB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634457"/>
    <w:multiLevelType w:val="hybridMultilevel"/>
    <w:tmpl w:val="EB40AFBC"/>
    <w:lvl w:ilvl="0" w:tplc="041A0015">
      <w:start w:val="1"/>
      <w:numFmt w:val="upp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16"/>
  </w:num>
  <w:num w:numId="7">
    <w:abstractNumId w:val="17"/>
  </w:num>
  <w:num w:numId="8">
    <w:abstractNumId w:val="8"/>
  </w:num>
  <w:num w:numId="9">
    <w:abstractNumId w:val="12"/>
  </w:num>
  <w:num w:numId="10">
    <w:abstractNumId w:val="1"/>
  </w:num>
  <w:num w:numId="11">
    <w:abstractNumId w:val="15"/>
  </w:num>
  <w:num w:numId="12">
    <w:abstractNumId w:val="0"/>
  </w:num>
  <w:num w:numId="13">
    <w:abstractNumId w:val="14"/>
  </w:num>
  <w:num w:numId="14">
    <w:abstractNumId w:val="9"/>
  </w:num>
  <w:num w:numId="15">
    <w:abstractNumId w:val="11"/>
  </w:num>
  <w:num w:numId="16">
    <w:abstractNumId w:val="10"/>
  </w:num>
  <w:num w:numId="17">
    <w:abstractNumId w:val="13"/>
  </w:num>
  <w:num w:numId="18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265"/>
    <w:rsid w:val="000125A9"/>
    <w:rsid w:val="00040186"/>
    <w:rsid w:val="00095444"/>
    <w:rsid w:val="000A20B3"/>
    <w:rsid w:val="000A20C6"/>
    <w:rsid w:val="000B7956"/>
    <w:rsid w:val="000D355E"/>
    <w:rsid w:val="000D49A3"/>
    <w:rsid w:val="000E16A6"/>
    <w:rsid w:val="000E6D8F"/>
    <w:rsid w:val="000F58D6"/>
    <w:rsid w:val="00113CB5"/>
    <w:rsid w:val="00132DED"/>
    <w:rsid w:val="00134B3A"/>
    <w:rsid w:val="00155EEB"/>
    <w:rsid w:val="001776FE"/>
    <w:rsid w:val="00195D48"/>
    <w:rsid w:val="001C7866"/>
    <w:rsid w:val="001E205A"/>
    <w:rsid w:val="00205FF5"/>
    <w:rsid w:val="00223684"/>
    <w:rsid w:val="00235A89"/>
    <w:rsid w:val="00237FA5"/>
    <w:rsid w:val="002568D1"/>
    <w:rsid w:val="0027127E"/>
    <w:rsid w:val="0028392E"/>
    <w:rsid w:val="002B0D00"/>
    <w:rsid w:val="002D08AC"/>
    <w:rsid w:val="002E435A"/>
    <w:rsid w:val="002E6EC2"/>
    <w:rsid w:val="00302F34"/>
    <w:rsid w:val="00313F39"/>
    <w:rsid w:val="003171D2"/>
    <w:rsid w:val="003332B8"/>
    <w:rsid w:val="0034161E"/>
    <w:rsid w:val="00345DED"/>
    <w:rsid w:val="00347F45"/>
    <w:rsid w:val="0037516C"/>
    <w:rsid w:val="00375A3A"/>
    <w:rsid w:val="003853C4"/>
    <w:rsid w:val="003928E2"/>
    <w:rsid w:val="0039714B"/>
    <w:rsid w:val="003A0254"/>
    <w:rsid w:val="003A0AF7"/>
    <w:rsid w:val="003A2D58"/>
    <w:rsid w:val="003A2FDF"/>
    <w:rsid w:val="003B44F9"/>
    <w:rsid w:val="003B4B32"/>
    <w:rsid w:val="003C00E9"/>
    <w:rsid w:val="003C0DAB"/>
    <w:rsid w:val="003D62A4"/>
    <w:rsid w:val="003E6B5E"/>
    <w:rsid w:val="003F1601"/>
    <w:rsid w:val="003F2349"/>
    <w:rsid w:val="003F2E7D"/>
    <w:rsid w:val="00405DE3"/>
    <w:rsid w:val="00414D97"/>
    <w:rsid w:val="0041688D"/>
    <w:rsid w:val="00427B49"/>
    <w:rsid w:val="00427D87"/>
    <w:rsid w:val="004339D0"/>
    <w:rsid w:val="00445CEC"/>
    <w:rsid w:val="00450025"/>
    <w:rsid w:val="00455CA1"/>
    <w:rsid w:val="00471A46"/>
    <w:rsid w:val="004728E2"/>
    <w:rsid w:val="00474720"/>
    <w:rsid w:val="004A488C"/>
    <w:rsid w:val="004A6344"/>
    <w:rsid w:val="004D16F7"/>
    <w:rsid w:val="004E32DA"/>
    <w:rsid w:val="004F1130"/>
    <w:rsid w:val="004F55FA"/>
    <w:rsid w:val="00507FF8"/>
    <w:rsid w:val="005125D9"/>
    <w:rsid w:val="00512C1A"/>
    <w:rsid w:val="005172D4"/>
    <w:rsid w:val="00520C39"/>
    <w:rsid w:val="00522E2B"/>
    <w:rsid w:val="00543A2E"/>
    <w:rsid w:val="00547ECA"/>
    <w:rsid w:val="0055431C"/>
    <w:rsid w:val="00561BD2"/>
    <w:rsid w:val="0057168C"/>
    <w:rsid w:val="00571FED"/>
    <w:rsid w:val="00574DEA"/>
    <w:rsid w:val="00584AD8"/>
    <w:rsid w:val="00597468"/>
    <w:rsid w:val="005A676C"/>
    <w:rsid w:val="005B2797"/>
    <w:rsid w:val="005B2C6E"/>
    <w:rsid w:val="005B5F71"/>
    <w:rsid w:val="005B7DAF"/>
    <w:rsid w:val="005C4687"/>
    <w:rsid w:val="005D23ED"/>
    <w:rsid w:val="005D74AD"/>
    <w:rsid w:val="005E1128"/>
    <w:rsid w:val="005E2E87"/>
    <w:rsid w:val="00605255"/>
    <w:rsid w:val="006330F7"/>
    <w:rsid w:val="00653800"/>
    <w:rsid w:val="006711E8"/>
    <w:rsid w:val="00671483"/>
    <w:rsid w:val="00683C18"/>
    <w:rsid w:val="00696FC0"/>
    <w:rsid w:val="006A2BA3"/>
    <w:rsid w:val="006A436C"/>
    <w:rsid w:val="006B0DA3"/>
    <w:rsid w:val="006B7495"/>
    <w:rsid w:val="006D0000"/>
    <w:rsid w:val="006D68F6"/>
    <w:rsid w:val="006E4617"/>
    <w:rsid w:val="00701709"/>
    <w:rsid w:val="00731E4B"/>
    <w:rsid w:val="00765051"/>
    <w:rsid w:val="00770265"/>
    <w:rsid w:val="0078146F"/>
    <w:rsid w:val="007870D1"/>
    <w:rsid w:val="007B4C9B"/>
    <w:rsid w:val="007C7CD9"/>
    <w:rsid w:val="007D3DDA"/>
    <w:rsid w:val="007D4DCB"/>
    <w:rsid w:val="00806CAF"/>
    <w:rsid w:val="00817D76"/>
    <w:rsid w:val="00820722"/>
    <w:rsid w:val="008244EB"/>
    <w:rsid w:val="00830CA4"/>
    <w:rsid w:val="008407A4"/>
    <w:rsid w:val="00864B2F"/>
    <w:rsid w:val="00875FEC"/>
    <w:rsid w:val="00877930"/>
    <w:rsid w:val="008951E7"/>
    <w:rsid w:val="008A2757"/>
    <w:rsid w:val="008B25A6"/>
    <w:rsid w:val="008D778F"/>
    <w:rsid w:val="008E3A66"/>
    <w:rsid w:val="008F6B46"/>
    <w:rsid w:val="009360C9"/>
    <w:rsid w:val="009464AC"/>
    <w:rsid w:val="00952580"/>
    <w:rsid w:val="009544E4"/>
    <w:rsid w:val="00957897"/>
    <w:rsid w:val="0096118F"/>
    <w:rsid w:val="0096687E"/>
    <w:rsid w:val="009719C9"/>
    <w:rsid w:val="00971FF4"/>
    <w:rsid w:val="00974C3E"/>
    <w:rsid w:val="00975B0D"/>
    <w:rsid w:val="00984E41"/>
    <w:rsid w:val="009F44E5"/>
    <w:rsid w:val="00A03C5F"/>
    <w:rsid w:val="00A12886"/>
    <w:rsid w:val="00A137A0"/>
    <w:rsid w:val="00A14659"/>
    <w:rsid w:val="00A159A9"/>
    <w:rsid w:val="00A337F4"/>
    <w:rsid w:val="00A34976"/>
    <w:rsid w:val="00A35B52"/>
    <w:rsid w:val="00A53C68"/>
    <w:rsid w:val="00A570BD"/>
    <w:rsid w:val="00A61F80"/>
    <w:rsid w:val="00A73375"/>
    <w:rsid w:val="00A74358"/>
    <w:rsid w:val="00A94CBB"/>
    <w:rsid w:val="00AA0B06"/>
    <w:rsid w:val="00AA2E3A"/>
    <w:rsid w:val="00AB0874"/>
    <w:rsid w:val="00AB42E3"/>
    <w:rsid w:val="00AD1B14"/>
    <w:rsid w:val="00AE0F6C"/>
    <w:rsid w:val="00AF34F2"/>
    <w:rsid w:val="00B230CD"/>
    <w:rsid w:val="00B241FC"/>
    <w:rsid w:val="00B24B6E"/>
    <w:rsid w:val="00B34CF2"/>
    <w:rsid w:val="00B412D0"/>
    <w:rsid w:val="00B546F2"/>
    <w:rsid w:val="00B60C9D"/>
    <w:rsid w:val="00B60F98"/>
    <w:rsid w:val="00B63478"/>
    <w:rsid w:val="00B66D7B"/>
    <w:rsid w:val="00B779EE"/>
    <w:rsid w:val="00B808F1"/>
    <w:rsid w:val="00B80AB9"/>
    <w:rsid w:val="00B8322A"/>
    <w:rsid w:val="00B946B2"/>
    <w:rsid w:val="00BB65DA"/>
    <w:rsid w:val="00BC1D52"/>
    <w:rsid w:val="00BD2374"/>
    <w:rsid w:val="00BE39DD"/>
    <w:rsid w:val="00C10C8A"/>
    <w:rsid w:val="00C1449D"/>
    <w:rsid w:val="00C359E3"/>
    <w:rsid w:val="00C42F87"/>
    <w:rsid w:val="00C43F63"/>
    <w:rsid w:val="00C46091"/>
    <w:rsid w:val="00C6068B"/>
    <w:rsid w:val="00C925C4"/>
    <w:rsid w:val="00CA0BA4"/>
    <w:rsid w:val="00CA64F3"/>
    <w:rsid w:val="00CB3A23"/>
    <w:rsid w:val="00CC42B8"/>
    <w:rsid w:val="00CD04F0"/>
    <w:rsid w:val="00D209B7"/>
    <w:rsid w:val="00D41F96"/>
    <w:rsid w:val="00D46603"/>
    <w:rsid w:val="00D60C40"/>
    <w:rsid w:val="00D6435A"/>
    <w:rsid w:val="00D64FCA"/>
    <w:rsid w:val="00D7234E"/>
    <w:rsid w:val="00D82CD6"/>
    <w:rsid w:val="00D9299C"/>
    <w:rsid w:val="00D94E33"/>
    <w:rsid w:val="00D9641D"/>
    <w:rsid w:val="00D96A05"/>
    <w:rsid w:val="00D96DB7"/>
    <w:rsid w:val="00DB5911"/>
    <w:rsid w:val="00DD461F"/>
    <w:rsid w:val="00DD5346"/>
    <w:rsid w:val="00DF1DCA"/>
    <w:rsid w:val="00DF3740"/>
    <w:rsid w:val="00DF6821"/>
    <w:rsid w:val="00E03EB6"/>
    <w:rsid w:val="00E1078F"/>
    <w:rsid w:val="00E3056E"/>
    <w:rsid w:val="00E4445A"/>
    <w:rsid w:val="00E55757"/>
    <w:rsid w:val="00E75EAB"/>
    <w:rsid w:val="00E80C0B"/>
    <w:rsid w:val="00E90B86"/>
    <w:rsid w:val="00EA5ECC"/>
    <w:rsid w:val="00EB0871"/>
    <w:rsid w:val="00EB0EDF"/>
    <w:rsid w:val="00EB3E69"/>
    <w:rsid w:val="00EC0DEA"/>
    <w:rsid w:val="00ED18CE"/>
    <w:rsid w:val="00ED54A6"/>
    <w:rsid w:val="00EE6FAD"/>
    <w:rsid w:val="00F37B65"/>
    <w:rsid w:val="00F46BF1"/>
    <w:rsid w:val="00F5036D"/>
    <w:rsid w:val="00F50A32"/>
    <w:rsid w:val="00F6496A"/>
    <w:rsid w:val="00F67DC6"/>
    <w:rsid w:val="00F93BBA"/>
    <w:rsid w:val="00FB1A87"/>
    <w:rsid w:val="00FB20CE"/>
    <w:rsid w:val="00FD3FE8"/>
    <w:rsid w:val="00FE70B4"/>
    <w:rsid w:val="00FF0DC3"/>
    <w:rsid w:val="00FF1E86"/>
    <w:rsid w:val="00FF2094"/>
    <w:rsid w:val="00FF61EB"/>
    <w:rsid w:val="08F4D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FEC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6F7"/>
    <w:pPr>
      <w:spacing w:before="120" w:after="120" w:line="220" w:lineRule="atLeast"/>
    </w:pPr>
    <w:rPr>
      <w:rFonts w:ascii="Tahoma" w:hAnsi="Tahoma"/>
      <w:sz w:val="20"/>
    </w:rPr>
  </w:style>
  <w:style w:type="paragraph" w:styleId="Naslov1">
    <w:name w:val="heading 1"/>
    <w:basedOn w:val="Normal"/>
    <w:next w:val="Normal"/>
    <w:link w:val="Naslov1Char"/>
    <w:uiPriority w:val="9"/>
    <w:qFormat/>
    <w:rsid w:val="00BC1D52"/>
    <w:pPr>
      <w:keepNext/>
      <w:keepLines/>
      <w:spacing w:before="240" w:after="240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55CA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55CA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aliases w:val="Paragraph,List Paragraph Red,lp1,TG lista,Heading 12,naslov 1,Naslov 11,Naslov 12,Graf,Paragraphe de liste PBLH,Graph &amp; Table tite,Normal bullet 2,Bullet list,Figure_name,Equipment,Numbered Indented Text,List Paragraph11,heading 1,Graf1"/>
    <w:basedOn w:val="Normal"/>
    <w:link w:val="OdlomakpopisaChar"/>
    <w:uiPriority w:val="34"/>
    <w:qFormat/>
    <w:rsid w:val="00770265"/>
    <w:pPr>
      <w:ind w:left="720"/>
      <w:contextualSpacing/>
    </w:pPr>
  </w:style>
  <w:style w:type="character" w:customStyle="1" w:styleId="OdlomakpopisaChar">
    <w:name w:val="Odlomak popisa Char"/>
    <w:aliases w:val="Paragraph Char,List Paragraph Red Char,lp1 Char,TG lista Char,Heading 12 Char,naslov 1 Char,Naslov 11 Char,Naslov 12 Char,Graf Char,Paragraphe de liste PBLH Char,Graph &amp; Table tite Char,Normal bullet 2 Char,Bullet list Char"/>
    <w:link w:val="Odlomakpopisa"/>
    <w:uiPriority w:val="34"/>
    <w:qFormat/>
    <w:rsid w:val="00770265"/>
    <w:rPr>
      <w:rFonts w:ascii="Tahoma" w:hAnsi="Tahoma"/>
      <w:sz w:val="20"/>
    </w:rPr>
  </w:style>
  <w:style w:type="paragraph" w:styleId="Zaglavlje">
    <w:name w:val="header"/>
    <w:basedOn w:val="Normal"/>
    <w:link w:val="ZaglavljeChar"/>
    <w:uiPriority w:val="99"/>
    <w:unhideWhenUsed/>
    <w:rsid w:val="0077026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770265"/>
    <w:rPr>
      <w:rFonts w:ascii="Tahoma" w:hAnsi="Tahoma"/>
      <w:sz w:val="20"/>
    </w:rPr>
  </w:style>
  <w:style w:type="paragraph" w:styleId="Podnoje">
    <w:name w:val="footer"/>
    <w:basedOn w:val="Normal"/>
    <w:link w:val="PodnojeChar"/>
    <w:uiPriority w:val="99"/>
    <w:unhideWhenUsed/>
    <w:rsid w:val="00770265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770265"/>
    <w:rPr>
      <w:rFonts w:ascii="Tahoma" w:hAnsi="Tahoma"/>
      <w:sz w:val="20"/>
    </w:rPr>
  </w:style>
  <w:style w:type="paragraph" w:customStyle="1" w:styleId="TD-Footer">
    <w:name w:val="TD-Footer"/>
    <w:basedOn w:val="Normal"/>
    <w:rsid w:val="00347F45"/>
    <w:pPr>
      <w:pBdr>
        <w:top w:val="single" w:sz="4" w:space="1" w:color="auto"/>
      </w:pBdr>
      <w:tabs>
        <w:tab w:val="right" w:pos="9072"/>
      </w:tabs>
    </w:pPr>
    <w:rPr>
      <w:rFonts w:ascii="Arial" w:eastAsiaTheme="minorEastAsia" w:hAnsi="Arial"/>
      <w:sz w:val="18"/>
      <w:szCs w:val="18"/>
    </w:rPr>
  </w:style>
  <w:style w:type="character" w:customStyle="1" w:styleId="Naslov1Char">
    <w:name w:val="Naslov 1 Char"/>
    <w:basedOn w:val="Zadanifontodlomka"/>
    <w:link w:val="Naslov1"/>
    <w:uiPriority w:val="9"/>
    <w:rsid w:val="00BC1D52"/>
    <w:rPr>
      <w:rFonts w:ascii="Tahoma" w:eastAsiaTheme="majorEastAsia" w:hAnsi="Tahoma" w:cstheme="majorBidi"/>
      <w:b/>
      <w:bCs/>
      <w:color w:val="000000" w:themeColor="text1"/>
      <w:sz w:val="20"/>
      <w:szCs w:val="28"/>
    </w:rPr>
  </w:style>
  <w:style w:type="paragraph" w:customStyle="1" w:styleId="BodyTextBoldheading">
    <w:name w:val="Body Text Bold heading"/>
    <w:basedOn w:val="Normal"/>
    <w:link w:val="BodyTextBoldheadingChar"/>
    <w:qFormat/>
    <w:rsid w:val="00235A89"/>
    <w:pPr>
      <w:spacing w:before="240" w:line="276" w:lineRule="auto"/>
    </w:pPr>
    <w:rPr>
      <w:rFonts w:ascii="Calibri" w:eastAsia="Arial Unicode MS" w:hAnsi="Calibri" w:cs="Times New Roman"/>
      <w:b/>
      <w:sz w:val="22"/>
      <w:lang w:val="en-GB"/>
    </w:rPr>
  </w:style>
  <w:style w:type="character" w:customStyle="1" w:styleId="BodyTextBoldheadingChar">
    <w:name w:val="Body Text Bold heading Char"/>
    <w:link w:val="BodyTextBoldheading"/>
    <w:rsid w:val="00235A89"/>
    <w:rPr>
      <w:rFonts w:ascii="Calibri" w:eastAsia="Arial Unicode MS" w:hAnsi="Calibri" w:cs="Times New Roman"/>
      <w:b/>
      <w:lang w:val="en-GB"/>
    </w:rPr>
  </w:style>
  <w:style w:type="character" w:styleId="Referencakomentara">
    <w:name w:val="annotation reference"/>
    <w:basedOn w:val="Zadanifontodlomka"/>
    <w:uiPriority w:val="99"/>
    <w:semiHidden/>
    <w:unhideWhenUsed/>
    <w:rsid w:val="00574DEA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574DEA"/>
    <w:pPr>
      <w:spacing w:line="240" w:lineRule="auto"/>
    </w:pPr>
    <w:rPr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574DEA"/>
    <w:rPr>
      <w:rFonts w:ascii="Tahoma" w:hAnsi="Tahoma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74DEA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74DEA"/>
    <w:rPr>
      <w:rFonts w:ascii="Tahoma" w:hAnsi="Tahoma"/>
      <w:b/>
      <w:bCs/>
      <w:sz w:val="20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574DEA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74DEA"/>
    <w:rPr>
      <w:rFonts w:ascii="Segoe UI" w:hAnsi="Segoe UI" w:cs="Segoe UI"/>
      <w:sz w:val="18"/>
      <w:szCs w:val="18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55CA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55CA1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table" w:styleId="Reetkatablice">
    <w:name w:val="Table Grid"/>
    <w:basedOn w:val="Obinatablica"/>
    <w:uiPriority w:val="39"/>
    <w:rsid w:val="00455CA1"/>
    <w:rPr>
      <w:rFonts w:eastAsiaTheme="minorEastAs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eza">
    <w:name w:val="Hyperlink"/>
    <w:basedOn w:val="Zadanifontodlomka"/>
    <w:uiPriority w:val="99"/>
    <w:unhideWhenUsed/>
    <w:rsid w:val="00455CA1"/>
    <w:rPr>
      <w:rFonts w:cs="Times New Roman"/>
      <w:color w:val="0563C1"/>
      <w:u w:val="single"/>
    </w:rPr>
  </w:style>
  <w:style w:type="paragraph" w:styleId="Grafikeoznake">
    <w:name w:val="List Bullet"/>
    <w:basedOn w:val="Normal"/>
    <w:uiPriority w:val="99"/>
    <w:rsid w:val="00455CA1"/>
    <w:pPr>
      <w:numPr>
        <w:numId w:val="12"/>
      </w:numPr>
      <w:spacing w:line="276" w:lineRule="auto"/>
    </w:pPr>
    <w:rPr>
      <w:rFonts w:ascii="Arial" w:eastAsia="Times New Roman" w:hAnsi="Arial" w:cs="Times New Roman"/>
      <w:sz w:val="22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64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strukturnifondovi.hr/dokumenti/?doc_id=585&amp;fondovi=esi_fondovi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strukturnifondovi.hr/wp-content/uploads/2017/03/Upute-za-korisnike-zadnja-verzija.pdf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1870</Words>
  <Characters>10665</Characters>
  <Application>Microsoft Office Word</Application>
  <DocSecurity>0</DocSecurity>
  <Lines>88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2020-01-02T09:03:00Z</dcterms:created>
  <dcterms:modified xsi:type="dcterms:W3CDTF">2020-07-22T08:14:00Z</dcterms:modified>
</cp:coreProperties>
</file>