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353" w:rsidRDefault="00A00353" w:rsidP="005A6A5D"/>
    <w:p w:rsidR="00E031F7" w:rsidRDefault="00E031F7" w:rsidP="005A6A5D"/>
    <w:p w:rsidR="00E031F7" w:rsidRPr="0032083E" w:rsidRDefault="00E031F7" w:rsidP="00E031F7">
      <w:pPr>
        <w:spacing w:line="240" w:lineRule="auto"/>
        <w:jc w:val="center"/>
        <w:rPr>
          <w:b/>
          <w:sz w:val="24"/>
          <w:szCs w:val="24"/>
        </w:rPr>
      </w:pPr>
      <w:r w:rsidRPr="0032083E">
        <w:rPr>
          <w:b/>
          <w:sz w:val="24"/>
          <w:szCs w:val="24"/>
        </w:rPr>
        <w:t>METODOLOGIJU I VREMENSKI PLAN IZRADE POJEDINAČNOG MODELA</w:t>
      </w:r>
    </w:p>
    <w:p w:rsidR="00E031F7" w:rsidRDefault="00E031F7" w:rsidP="00E031F7">
      <w:pPr>
        <w:spacing w:line="240" w:lineRule="auto"/>
        <w:jc w:val="both"/>
      </w:pPr>
    </w:p>
    <w:p w:rsidR="00E031F7" w:rsidRDefault="00E031F7" w:rsidP="00E031F7">
      <w:pPr>
        <w:spacing w:line="240" w:lineRule="auto"/>
        <w:jc w:val="both"/>
      </w:pPr>
    </w:p>
    <w:p w:rsidR="00E031F7" w:rsidRPr="0032083E" w:rsidRDefault="00E031F7" w:rsidP="00E031F7">
      <w:pPr>
        <w:spacing w:line="240" w:lineRule="auto"/>
        <w:jc w:val="both"/>
      </w:pPr>
      <w:r w:rsidRPr="0032083E">
        <w:t>Modeli za bolje upravljanje i održivo korištenje prirodnih resursa su korisni upravljački alati za stratešku, jasno definiranu politiku upravljanja određenim prirodnim područjima. Oni omogućuju učinkovitiju raspodjelu resursa potrebnih za upravljanje te komunikaciju ciljeva i aktivnosti među dionicima. Modeli predstavljaju planove koji svoju svrhu ispunjavaju provedbom koja je moguća jedino ako su realistični te prihvaćeni od strane provoditelja i podržani od strane ključnih dionika. Prvenstvena svrha Modela upravljanja je da budu jasni, praktični i provedivi dokumenti koji će služiti planiranju i upravljanju aktivnostima, a mogu poslužiti i kao podloga za razvoj budućih inicijativa na projektnim područjima. Stoga će se provedbi zadataka pristupiti uz uključivanje projektnih partnera, članova radne skupine te dionika vezanih uz korištenje prirodnih resursa projektnih područja.</w:t>
      </w:r>
    </w:p>
    <w:p w:rsidR="00E031F7" w:rsidRPr="0032083E" w:rsidRDefault="00E031F7" w:rsidP="00E031F7">
      <w:pPr>
        <w:spacing w:line="240" w:lineRule="auto"/>
        <w:jc w:val="both"/>
      </w:pPr>
      <w:r w:rsidRPr="0032083E">
        <w:t xml:space="preserve">Glavna uloga stručnjaka bit će sudjelovanje u radnoj skupini za izradu Modela kroz sudjelovanje na sastancima, prikupljanje potrebnih podataka i informacija, provođenje razgovora s nadležnim institucijama i ključnim dionicima, strukturiranje elemenata Modela te pisanje nacrta i finalnih verzija tekstualnih i planskih poglavlja dokumenata. Tijekom izrade stručnjak će voditi redovitu komunikaciju s Naručiteljem, vodećim stručnjakom izrade Zajedničkog modela, te informirati o napretku procesa i prema potrebi prilagoditi aktivnosti i proces izrade, a sve u svrhu što kvalitetnijeg dokumenta. </w:t>
      </w:r>
    </w:p>
    <w:p w:rsidR="00E031F7" w:rsidRPr="0032083E" w:rsidRDefault="00E031F7" w:rsidP="00E031F7">
      <w:pPr>
        <w:spacing w:line="240" w:lineRule="auto"/>
        <w:jc w:val="both"/>
      </w:pPr>
      <w:r w:rsidRPr="0032083E">
        <w:t>Model upravljanja će sadržavati najvažnije informacije o području, istaknuti vrijednosti i identificirati prijetnje, te predložiti ciljeve i aktivnosti koji će podržati održivo korištenje područja i njegovu promociju. Sama struktura Modela je predmet dogovora radne skupine, ali je načelno važno da prati postojeće strateške dokumente upravitelja projektnih područja ako oni postoje. Nakon izrade prvog nacrta Model će biti upućeni na mišljenja i dopune koji će doprinijeti izradi finalnih verzija.</w:t>
      </w:r>
    </w:p>
    <w:p w:rsidR="00E031F7" w:rsidRPr="0032083E" w:rsidRDefault="00E031F7" w:rsidP="00E031F7">
      <w:pPr>
        <w:spacing w:line="240" w:lineRule="auto"/>
        <w:jc w:val="both"/>
      </w:pPr>
      <w:r w:rsidRPr="0032083E">
        <w:t xml:space="preserve">Proces izrade Modela  upravljanja temelji se na načelima izrade strateških dokumenta za upravljanje prirodnim resursima koji se naslanjaju na međunarodne standarde i primjere dobre prakse te iskustvu stručnjaka. Izrada Modela za bolje upravljanje i održivo korištenje prirodnih resursa područja kanjona rijeke </w:t>
      </w:r>
      <w:proofErr w:type="spellStart"/>
      <w:r w:rsidRPr="0032083E">
        <w:t>Čikole</w:t>
      </w:r>
      <w:proofErr w:type="spellEnd"/>
      <w:r w:rsidRPr="0032083E">
        <w:t xml:space="preserve"> temeljit će se na iskustvu planiranja upravljanja zaštićenih i Natura 2000 područja, izradi interpretativne </w:t>
      </w:r>
      <w:proofErr w:type="spellStart"/>
      <w:r w:rsidRPr="0032083E">
        <w:t>posjetiteljske</w:t>
      </w:r>
      <w:proofErr w:type="spellEnd"/>
      <w:r w:rsidRPr="0032083E">
        <w:t xml:space="preserve"> infrastrukture i promociji aktivnog turizma. </w:t>
      </w:r>
    </w:p>
    <w:p w:rsidR="00E031F7" w:rsidRPr="0032083E" w:rsidRDefault="00E031F7" w:rsidP="00E031F7">
      <w:r w:rsidRPr="0032083E">
        <w:t>Kako bi se uspješno izvršili traženi zadaci i provele predložene aktivnosti uz osnovnu odgovornost stručnjaka, njemu će se osigurati uvid u ostale projektne ciljeve i aktivnosti, pravodobnu razmjenu informacija sa svim članovima radne grupe kao i podršku Naručitelja u prikupljanju potrebnih podataka i informacija, relevantnih kontakata, organizaciji logistike sastanaka i sudjelovanja na istim. Različiti zakonodavni i institucionalni okviri u projektnim državama te ograničeni ljudski i financijski kapaciteti predstavljaju ograničavajuće elemente u planiranju i još više u provedbi Modela upravljanja.</w:t>
      </w:r>
    </w:p>
    <w:p w:rsidR="00E031F7" w:rsidRPr="0032083E" w:rsidRDefault="00E031F7" w:rsidP="00E031F7"/>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031F7" w:rsidRPr="00581110" w:rsidTr="005B5F19">
        <w:trPr>
          <w:trHeight w:val="5795"/>
        </w:trPr>
        <w:tc>
          <w:tcPr>
            <w:tcW w:w="5000" w:type="pct"/>
            <w:shd w:val="clear" w:color="auto" w:fill="auto"/>
          </w:tcPr>
          <w:p w:rsidR="00E031F7" w:rsidRDefault="00E031F7" w:rsidP="005B5F19">
            <w:pPr>
              <w:spacing w:line="240" w:lineRule="auto"/>
              <w:jc w:val="both"/>
            </w:pPr>
            <w:r>
              <w:lastRenderedPageBreak/>
              <w:t xml:space="preserve">Kako bi se uspješno obavili zadaci zadani Opisom posla, dolje su navedene glavne aktivnosti te okvirni vremenski tijek njihovog provođenja. Detaljniju razradu </w:t>
            </w:r>
            <w:proofErr w:type="spellStart"/>
            <w:r>
              <w:t>podaktivnosti</w:t>
            </w:r>
            <w:proofErr w:type="spellEnd"/>
            <w:r>
              <w:t xml:space="preserve"> biti će moguće napraviti nakon uspostave radne skupine. Krajnji rok za izradu pojedinačnog Modela je 15.07.2018.</w:t>
            </w:r>
          </w:p>
          <w:tbl>
            <w:tblPr>
              <w:tblW w:w="8836" w:type="dxa"/>
              <w:tblLook w:val="04A0" w:firstRow="1" w:lastRow="0" w:firstColumn="1" w:lastColumn="0" w:noHBand="0" w:noVBand="1"/>
            </w:tblPr>
            <w:tblGrid>
              <w:gridCol w:w="3691"/>
              <w:gridCol w:w="395"/>
              <w:gridCol w:w="419"/>
              <w:gridCol w:w="402"/>
              <w:gridCol w:w="402"/>
              <w:gridCol w:w="402"/>
              <w:gridCol w:w="402"/>
              <w:gridCol w:w="402"/>
              <w:gridCol w:w="402"/>
              <w:gridCol w:w="385"/>
              <w:gridCol w:w="396"/>
              <w:gridCol w:w="589"/>
              <w:gridCol w:w="549"/>
            </w:tblGrid>
            <w:tr w:rsidR="00E031F7" w:rsidRPr="00F2129C" w:rsidTr="005B5F19">
              <w:trPr>
                <w:trHeight w:val="409"/>
              </w:trPr>
              <w:tc>
                <w:tcPr>
                  <w:tcW w:w="3691" w:type="dxa"/>
                  <w:vMerge w:val="restart"/>
                  <w:tcBorders>
                    <w:top w:val="single" w:sz="4" w:space="0" w:color="auto"/>
                    <w:left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Aktivnost</w:t>
                  </w:r>
                </w:p>
              </w:tc>
              <w:tc>
                <w:tcPr>
                  <w:tcW w:w="5145" w:type="dxa"/>
                  <w:gridSpan w:val="12"/>
                  <w:tcBorders>
                    <w:top w:val="single" w:sz="4" w:space="0" w:color="auto"/>
                    <w:left w:val="nil"/>
                    <w:bottom w:val="single" w:sz="4" w:space="0" w:color="auto"/>
                    <w:right w:val="single" w:sz="4" w:space="0" w:color="auto"/>
                  </w:tcBorders>
                  <w:shd w:val="clear" w:color="auto" w:fill="8DB3E2"/>
                  <w:noWrap/>
                  <w:vAlign w:val="center"/>
                  <w:hideMark/>
                </w:tcPr>
                <w:p w:rsidR="00E031F7" w:rsidRDefault="00E031F7" w:rsidP="005B5F19">
                  <w:pPr>
                    <w:spacing w:after="0" w:line="240" w:lineRule="auto"/>
                    <w:jc w:val="center"/>
                    <w:rPr>
                      <w:rFonts w:eastAsia="Times New Roman"/>
                      <w:b/>
                      <w:bCs/>
                      <w:sz w:val="18"/>
                      <w:szCs w:val="18"/>
                    </w:rPr>
                  </w:pPr>
                  <w:r>
                    <w:rPr>
                      <w:rFonts w:eastAsia="Times New Roman"/>
                      <w:b/>
                      <w:bCs/>
                      <w:sz w:val="18"/>
                      <w:szCs w:val="18"/>
                    </w:rPr>
                    <w:t>Mjeseci provedbe</w:t>
                  </w:r>
                </w:p>
              </w:tc>
            </w:tr>
            <w:tr w:rsidR="00E031F7" w:rsidRPr="00F2129C" w:rsidTr="005B5F19">
              <w:trPr>
                <w:trHeight w:val="301"/>
              </w:trPr>
              <w:tc>
                <w:tcPr>
                  <w:tcW w:w="3691" w:type="dxa"/>
                  <w:vMerge/>
                  <w:tcBorders>
                    <w:left w:val="single" w:sz="4" w:space="0" w:color="auto"/>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rPr>
                      <w:rFonts w:eastAsia="Times New Roman"/>
                      <w:sz w:val="20"/>
                      <w:szCs w:val="20"/>
                    </w:rPr>
                  </w:pPr>
                </w:p>
              </w:tc>
              <w:tc>
                <w:tcPr>
                  <w:tcW w:w="395"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1</w:t>
                  </w:r>
                </w:p>
              </w:tc>
              <w:tc>
                <w:tcPr>
                  <w:tcW w:w="419"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2</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3</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4</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5</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6</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7</w:t>
                  </w:r>
                </w:p>
              </w:tc>
              <w:tc>
                <w:tcPr>
                  <w:tcW w:w="402" w:type="dxa"/>
                  <w:tcBorders>
                    <w:top w:val="single" w:sz="4" w:space="0" w:color="auto"/>
                    <w:left w:val="nil"/>
                    <w:bottom w:val="single" w:sz="4" w:space="0" w:color="auto"/>
                    <w:right w:val="single" w:sz="4" w:space="0" w:color="auto"/>
                  </w:tcBorders>
                  <w:shd w:val="clear" w:color="auto" w:fill="8DB3E2"/>
                  <w:noWrap/>
                  <w:vAlign w:val="center"/>
                  <w:hideMark/>
                </w:tcPr>
                <w:p w:rsidR="00E031F7" w:rsidRPr="00F2129C" w:rsidRDefault="00E031F7" w:rsidP="005B5F19">
                  <w:pPr>
                    <w:spacing w:after="0" w:line="240" w:lineRule="auto"/>
                    <w:jc w:val="center"/>
                    <w:rPr>
                      <w:rFonts w:eastAsia="Times New Roman"/>
                      <w:b/>
                      <w:bCs/>
                      <w:sz w:val="18"/>
                      <w:szCs w:val="18"/>
                    </w:rPr>
                  </w:pPr>
                  <w:r>
                    <w:rPr>
                      <w:rFonts w:eastAsia="Times New Roman"/>
                      <w:b/>
                      <w:bCs/>
                      <w:sz w:val="18"/>
                      <w:szCs w:val="18"/>
                    </w:rPr>
                    <w:t>8</w:t>
                  </w:r>
                </w:p>
              </w:tc>
              <w:tc>
                <w:tcPr>
                  <w:tcW w:w="385" w:type="dxa"/>
                  <w:tcBorders>
                    <w:top w:val="single" w:sz="4" w:space="0" w:color="auto"/>
                    <w:left w:val="nil"/>
                    <w:bottom w:val="single" w:sz="4" w:space="0" w:color="auto"/>
                    <w:right w:val="single" w:sz="4" w:space="0" w:color="auto"/>
                  </w:tcBorders>
                  <w:shd w:val="clear" w:color="auto" w:fill="8DB3E2"/>
                  <w:noWrap/>
                  <w:vAlign w:val="center"/>
                </w:tcPr>
                <w:p w:rsidR="00E031F7" w:rsidRPr="00F2129C" w:rsidRDefault="00E031F7" w:rsidP="005B5F19">
                  <w:pPr>
                    <w:spacing w:after="0" w:line="240" w:lineRule="auto"/>
                    <w:jc w:val="center"/>
                    <w:rPr>
                      <w:rFonts w:eastAsia="Times New Roman"/>
                      <w:b/>
                      <w:bCs/>
                      <w:sz w:val="18"/>
                      <w:szCs w:val="18"/>
                    </w:rPr>
                  </w:pPr>
                </w:p>
              </w:tc>
              <w:tc>
                <w:tcPr>
                  <w:tcW w:w="396" w:type="dxa"/>
                  <w:tcBorders>
                    <w:top w:val="single" w:sz="4" w:space="0" w:color="auto"/>
                    <w:left w:val="nil"/>
                    <w:bottom w:val="single" w:sz="4" w:space="0" w:color="auto"/>
                    <w:right w:val="single" w:sz="4" w:space="0" w:color="auto"/>
                  </w:tcBorders>
                  <w:shd w:val="clear" w:color="auto" w:fill="8DB3E2"/>
                  <w:noWrap/>
                  <w:vAlign w:val="center"/>
                </w:tcPr>
                <w:p w:rsidR="00E031F7" w:rsidRPr="00F2129C" w:rsidRDefault="00E031F7" w:rsidP="005B5F19">
                  <w:pPr>
                    <w:spacing w:after="0" w:line="240" w:lineRule="auto"/>
                    <w:jc w:val="center"/>
                    <w:rPr>
                      <w:rFonts w:eastAsia="Times New Roman"/>
                      <w:b/>
                      <w:bCs/>
                      <w:sz w:val="18"/>
                      <w:szCs w:val="18"/>
                    </w:rPr>
                  </w:pPr>
                </w:p>
              </w:tc>
              <w:tc>
                <w:tcPr>
                  <w:tcW w:w="589" w:type="dxa"/>
                  <w:tcBorders>
                    <w:top w:val="single" w:sz="4" w:space="0" w:color="auto"/>
                    <w:left w:val="nil"/>
                    <w:bottom w:val="single" w:sz="4" w:space="0" w:color="auto"/>
                    <w:right w:val="single" w:sz="4" w:space="0" w:color="auto"/>
                  </w:tcBorders>
                  <w:shd w:val="clear" w:color="auto" w:fill="8DB3E2"/>
                  <w:noWrap/>
                  <w:vAlign w:val="center"/>
                </w:tcPr>
                <w:p w:rsidR="00E031F7" w:rsidRPr="00F2129C" w:rsidRDefault="00E031F7" w:rsidP="005B5F19">
                  <w:pPr>
                    <w:spacing w:after="0" w:line="240" w:lineRule="auto"/>
                    <w:jc w:val="center"/>
                    <w:rPr>
                      <w:rFonts w:eastAsia="Times New Roman"/>
                      <w:b/>
                      <w:bCs/>
                      <w:sz w:val="18"/>
                      <w:szCs w:val="18"/>
                    </w:rPr>
                  </w:pPr>
                </w:p>
              </w:tc>
              <w:tc>
                <w:tcPr>
                  <w:tcW w:w="549" w:type="dxa"/>
                  <w:tcBorders>
                    <w:top w:val="single" w:sz="4" w:space="0" w:color="auto"/>
                    <w:left w:val="nil"/>
                    <w:bottom w:val="single" w:sz="4" w:space="0" w:color="auto"/>
                    <w:right w:val="single" w:sz="4" w:space="0" w:color="auto"/>
                  </w:tcBorders>
                  <w:shd w:val="clear" w:color="auto" w:fill="8DB3E2"/>
                  <w:vAlign w:val="center"/>
                </w:tcPr>
                <w:p w:rsidR="00E031F7" w:rsidRPr="00F2129C" w:rsidRDefault="00E031F7" w:rsidP="005B5F19">
                  <w:pPr>
                    <w:spacing w:after="0" w:line="240" w:lineRule="auto"/>
                    <w:jc w:val="center"/>
                    <w:rPr>
                      <w:rFonts w:eastAsia="Times New Roman"/>
                      <w:b/>
                      <w:bCs/>
                      <w:sz w:val="18"/>
                      <w:szCs w:val="18"/>
                    </w:rPr>
                  </w:pPr>
                </w:p>
              </w:tc>
            </w:tr>
            <w:tr w:rsidR="00E031F7" w:rsidRPr="00F2129C" w:rsidTr="005B5F19">
              <w:trPr>
                <w:trHeight w:val="301"/>
              </w:trPr>
              <w:tc>
                <w:tcPr>
                  <w:tcW w:w="3691" w:type="dxa"/>
                  <w:tcBorders>
                    <w:top w:val="nil"/>
                    <w:left w:val="single" w:sz="4" w:space="0" w:color="auto"/>
                    <w:bottom w:val="single" w:sz="4" w:space="0" w:color="auto"/>
                    <w:right w:val="single" w:sz="4" w:space="0" w:color="auto"/>
                  </w:tcBorders>
                  <w:shd w:val="clear" w:color="auto" w:fill="auto"/>
                  <w:noWrap/>
                  <w:vAlign w:val="center"/>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 xml:space="preserve">Komunikacija s Naručiteljem </w:t>
                  </w:r>
                </w:p>
              </w:tc>
              <w:tc>
                <w:tcPr>
                  <w:tcW w:w="395"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r>
                    <w:rPr>
                      <w:rFonts w:eastAsia="Times New Roman"/>
                      <w:b/>
                      <w:bCs/>
                      <w:sz w:val="20"/>
                      <w:szCs w:val="20"/>
                    </w:rPr>
                    <w:t>x</w:t>
                  </w:r>
                </w:p>
              </w:tc>
              <w:tc>
                <w:tcPr>
                  <w:tcW w:w="385"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396"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89"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b/>
                      <w:bCs/>
                      <w:sz w:val="20"/>
                      <w:szCs w:val="20"/>
                    </w:rPr>
                  </w:pPr>
                </w:p>
              </w:tc>
            </w:tr>
            <w:tr w:rsidR="00E031F7" w:rsidRPr="00F2129C" w:rsidTr="005B5F19">
              <w:trPr>
                <w:trHeight w:val="301"/>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Pregled postojeće relevantne dokumentacije, prikupljanje informacija i podataka, analiza zakonodavnog okruženja</w:t>
                  </w:r>
                </w:p>
              </w:tc>
              <w:tc>
                <w:tcPr>
                  <w:tcW w:w="395"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1B5970" w:rsidRDefault="00E031F7" w:rsidP="005B5F19">
                  <w:pPr>
                    <w:spacing w:after="0" w:line="240" w:lineRule="auto"/>
                    <w:jc w:val="center"/>
                    <w:rPr>
                      <w:rFonts w:eastAsia="Times New Roman"/>
                      <w:b/>
                      <w:bCs/>
                      <w:sz w:val="20"/>
                      <w:szCs w:val="20"/>
                    </w:rPr>
                  </w:pPr>
                  <w:r w:rsidRPr="001B5970">
                    <w:rPr>
                      <w:rFonts w:eastAsia="Times New Roman"/>
                      <w:b/>
                      <w:bCs/>
                      <w:sz w:val="20"/>
                      <w:szCs w:val="20"/>
                    </w:rPr>
                    <w:t> </w:t>
                  </w:r>
                  <w:r>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B95304" w:rsidRDefault="00E031F7" w:rsidP="005B5F19">
                  <w:pPr>
                    <w:spacing w:after="0" w:line="240" w:lineRule="auto"/>
                    <w:rPr>
                      <w:rFonts w:eastAsia="Times New Roman"/>
                      <w:b/>
                      <w:bCs/>
                      <w:sz w:val="16"/>
                      <w:szCs w:val="16"/>
                    </w:rPr>
                  </w:pPr>
                  <w:r w:rsidRPr="00B95304">
                    <w:rPr>
                      <w:rFonts w:eastAsia="Times New Roman"/>
                      <w:b/>
                      <w:bCs/>
                      <w:sz w:val="16"/>
                      <w:szCs w:val="16"/>
                    </w:rPr>
                    <w:t> </w:t>
                  </w:r>
                  <w:r w:rsidRPr="001B5970">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1B5970" w:rsidRDefault="00E031F7" w:rsidP="005B5F19">
                  <w:pPr>
                    <w:spacing w:after="0" w:line="240" w:lineRule="auto"/>
                    <w:jc w:val="center"/>
                    <w:rPr>
                      <w:rFonts w:eastAsia="Times New Roman"/>
                      <w:b/>
                      <w:bCs/>
                      <w:sz w:val="20"/>
                      <w:szCs w:val="20"/>
                    </w:rPr>
                  </w:pPr>
                  <w:r w:rsidRPr="001B5970">
                    <w:rPr>
                      <w:rFonts w:eastAsia="Times New Roman"/>
                      <w:b/>
                      <w:bCs/>
                      <w:sz w:val="20"/>
                      <w:szCs w:val="20"/>
                    </w:rPr>
                    <w:t> 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1B5970" w:rsidRDefault="00E031F7" w:rsidP="005B5F19">
                  <w:pPr>
                    <w:spacing w:after="0" w:line="240" w:lineRule="auto"/>
                    <w:jc w:val="center"/>
                    <w:rPr>
                      <w:rFonts w:eastAsia="Times New Roman"/>
                      <w:b/>
                      <w:bCs/>
                      <w:sz w:val="20"/>
                      <w:szCs w:val="20"/>
                    </w:rPr>
                  </w:pPr>
                  <w:r w:rsidRPr="001B5970">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1B5970" w:rsidRDefault="00E031F7" w:rsidP="005B5F19">
                  <w:pPr>
                    <w:spacing w:after="0" w:line="240" w:lineRule="auto"/>
                    <w:jc w:val="center"/>
                    <w:rPr>
                      <w:rFonts w:eastAsia="Times New Roman"/>
                      <w:b/>
                      <w:bCs/>
                      <w:sz w:val="20"/>
                      <w:szCs w:val="20"/>
                    </w:rPr>
                  </w:pPr>
                  <w:r w:rsidRPr="001B5970">
                    <w:rPr>
                      <w:rFonts w:eastAsia="Times New Roman"/>
                      <w:b/>
                      <w:bCs/>
                      <w:sz w:val="20"/>
                      <w:szCs w:val="20"/>
                    </w:rPr>
                    <w:t> </w:t>
                  </w:r>
                  <w:r>
                    <w:rPr>
                      <w:rFonts w:eastAsia="Times New Roman"/>
                      <w:b/>
                      <w:bCs/>
                      <w:sz w:val="20"/>
                      <w:szCs w:val="20"/>
                    </w:rPr>
                    <w:t>x</w:t>
                  </w:r>
                </w:p>
              </w:tc>
              <w:tc>
                <w:tcPr>
                  <w:tcW w:w="385" w:type="dxa"/>
                  <w:tcBorders>
                    <w:top w:val="nil"/>
                    <w:left w:val="nil"/>
                    <w:bottom w:val="single" w:sz="4" w:space="0" w:color="auto"/>
                    <w:right w:val="single" w:sz="4" w:space="0" w:color="auto"/>
                  </w:tcBorders>
                  <w:shd w:val="clear" w:color="auto" w:fill="auto"/>
                  <w:noWrap/>
                  <w:vAlign w:val="center"/>
                  <w:hideMark/>
                </w:tcPr>
                <w:p w:rsidR="00E031F7" w:rsidRPr="001B5970" w:rsidRDefault="00E031F7" w:rsidP="005B5F19">
                  <w:pPr>
                    <w:spacing w:after="0" w:line="240" w:lineRule="auto"/>
                    <w:jc w:val="center"/>
                    <w:rPr>
                      <w:rFonts w:eastAsia="Times New Roman"/>
                      <w:b/>
                      <w:bCs/>
                      <w:sz w:val="20"/>
                      <w:szCs w:val="20"/>
                    </w:rPr>
                  </w:pPr>
                  <w:r w:rsidRPr="001B5970">
                    <w:rPr>
                      <w:rFonts w:eastAsia="Times New Roman"/>
                      <w:b/>
                      <w:bCs/>
                      <w:sz w:val="20"/>
                      <w:szCs w:val="20"/>
                    </w:rPr>
                    <w:t> </w:t>
                  </w:r>
                </w:p>
              </w:tc>
              <w:tc>
                <w:tcPr>
                  <w:tcW w:w="396"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89"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jc w:val="center"/>
                    <w:rPr>
                      <w:rFonts w:eastAsia="Times New Roman"/>
                      <w:b/>
                      <w:bCs/>
                      <w:sz w:val="20"/>
                      <w:szCs w:val="20"/>
                    </w:rPr>
                  </w:pPr>
                </w:p>
              </w:tc>
            </w:tr>
            <w:tr w:rsidR="00E031F7" w:rsidRPr="00F2129C" w:rsidTr="005B5F19">
              <w:trPr>
                <w:trHeight w:val="301"/>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Komunikacija s članovima prekogranične radne skupine</w:t>
                  </w:r>
                </w:p>
              </w:tc>
              <w:tc>
                <w:tcPr>
                  <w:tcW w:w="395"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 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385"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396"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89"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49" w:type="dxa"/>
                  <w:tcBorders>
                    <w:top w:val="nil"/>
                    <w:left w:val="nil"/>
                    <w:bottom w:val="single" w:sz="4" w:space="0" w:color="auto"/>
                    <w:right w:val="single" w:sz="4" w:space="0" w:color="auto"/>
                  </w:tcBorders>
                  <w:vAlign w:val="center"/>
                </w:tcPr>
                <w:p w:rsidR="00E031F7" w:rsidRPr="00F2129C" w:rsidRDefault="00E031F7" w:rsidP="005B5F19">
                  <w:pPr>
                    <w:spacing w:after="0" w:line="240" w:lineRule="auto"/>
                    <w:rPr>
                      <w:rFonts w:eastAsia="Times New Roman"/>
                      <w:b/>
                      <w:bCs/>
                      <w:sz w:val="20"/>
                      <w:szCs w:val="20"/>
                    </w:rPr>
                  </w:pPr>
                </w:p>
              </w:tc>
            </w:tr>
            <w:tr w:rsidR="00E031F7" w:rsidRPr="00F2129C" w:rsidTr="005B5F19">
              <w:trPr>
                <w:trHeight w:val="301"/>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 xml:space="preserve">Prvi  sastanak radne skupine (Obrovac ili Drniš)- </w:t>
                  </w:r>
                  <w:r w:rsidRPr="0032083E">
                    <w:rPr>
                      <w:rFonts w:eastAsia="Times New Roman"/>
                      <w:i/>
                      <w:sz w:val="20"/>
                      <w:szCs w:val="20"/>
                    </w:rPr>
                    <w:t>napomena: definiran u Projektu</w:t>
                  </w:r>
                </w:p>
              </w:tc>
              <w:tc>
                <w:tcPr>
                  <w:tcW w:w="39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r>
                    <w:rPr>
                      <w:rFonts w:eastAsia="Times New Roman"/>
                    </w:rPr>
                    <w:t>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38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396"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8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rPr>
                  </w:pPr>
                </w:p>
              </w:tc>
            </w:tr>
            <w:tr w:rsidR="00E031F7" w:rsidRPr="00F2129C" w:rsidTr="005B5F19">
              <w:trPr>
                <w:trHeight w:val="526"/>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 xml:space="preserve">Komunikacija s nadležnim institucijama i ključnim dionicima projektnih područja </w:t>
                  </w:r>
                </w:p>
              </w:tc>
              <w:tc>
                <w:tcPr>
                  <w:tcW w:w="39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r>
                    <w:rPr>
                      <w:rFonts w:eastAsia="Times New Roman"/>
                    </w:rPr>
                    <w:t>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r>
                    <w:rPr>
                      <w:rFonts w:eastAsia="Times New Roman"/>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385"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396"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89" w:type="dxa"/>
                  <w:tcBorders>
                    <w:top w:val="nil"/>
                    <w:left w:val="nil"/>
                    <w:bottom w:val="single" w:sz="4" w:space="0" w:color="auto"/>
                    <w:right w:val="single" w:sz="4" w:space="0" w:color="auto"/>
                  </w:tcBorders>
                  <w:shd w:val="clear" w:color="auto" w:fill="auto"/>
                  <w:noWrap/>
                  <w:vAlign w:val="center"/>
                </w:tcPr>
                <w:p w:rsidR="00E031F7" w:rsidRPr="00F2129C" w:rsidRDefault="00E031F7" w:rsidP="005B5F19">
                  <w:pPr>
                    <w:spacing w:after="0" w:line="240" w:lineRule="auto"/>
                    <w:jc w:val="center"/>
                    <w:rPr>
                      <w:rFonts w:eastAsia="Times New Roman"/>
                      <w:b/>
                      <w:bCs/>
                      <w:sz w:val="20"/>
                      <w:szCs w:val="20"/>
                    </w:rPr>
                  </w:pP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rPr>
                  </w:pPr>
                </w:p>
              </w:tc>
            </w:tr>
            <w:tr w:rsidR="00E031F7" w:rsidRPr="00F2129C" w:rsidTr="005B5F19">
              <w:trPr>
                <w:trHeight w:val="526"/>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 xml:space="preserve">Izrada prvog nacrta Modela za bolje upravljanje i održivo korištenje prirodnih resursa područja kanjona rijeke </w:t>
                  </w:r>
                  <w:proofErr w:type="spellStart"/>
                  <w:r w:rsidRPr="0032083E">
                    <w:rPr>
                      <w:rFonts w:eastAsia="Times New Roman"/>
                      <w:sz w:val="20"/>
                      <w:szCs w:val="20"/>
                    </w:rPr>
                    <w:t>Čikole</w:t>
                  </w:r>
                  <w:proofErr w:type="spellEnd"/>
                </w:p>
              </w:tc>
              <w:tc>
                <w:tcPr>
                  <w:tcW w:w="395"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rPr>
                  </w:pPr>
                  <w:r w:rsidRPr="00B70D91">
                    <w:rPr>
                      <w:rFonts w:eastAsia="Times New Roman"/>
                      <w:b/>
                      <w:bCs/>
                    </w:rPr>
                    <w:t>x</w:t>
                  </w:r>
                </w:p>
              </w:tc>
              <w:tc>
                <w:tcPr>
                  <w:tcW w:w="419"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 </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 </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38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396"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8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rPr>
                  </w:pPr>
                </w:p>
              </w:tc>
            </w:tr>
            <w:tr w:rsidR="00E031F7" w:rsidRPr="00F2129C" w:rsidTr="005B5F19">
              <w:trPr>
                <w:trHeight w:val="496"/>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Drugi sastanak radne skupine (Obrovac ili Drniš)-</w:t>
                  </w:r>
                  <w:r w:rsidRPr="0032083E">
                    <w:rPr>
                      <w:rFonts w:eastAsia="Times New Roman"/>
                      <w:i/>
                      <w:sz w:val="20"/>
                      <w:szCs w:val="20"/>
                    </w:rPr>
                    <w:t xml:space="preserve"> napomena: definiran u Projektu</w:t>
                  </w:r>
                </w:p>
              </w:tc>
              <w:tc>
                <w:tcPr>
                  <w:tcW w:w="39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1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rPr>
                      <w:rFonts w:eastAsia="Times New Roman"/>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rPr>
                      <w:rFonts w:eastAsia="Times New Roman"/>
                    </w:rPr>
                  </w:pPr>
                </w:p>
              </w:tc>
              <w:tc>
                <w:tcPr>
                  <w:tcW w:w="38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p>
              </w:tc>
              <w:tc>
                <w:tcPr>
                  <w:tcW w:w="396"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p>
              </w:tc>
              <w:tc>
                <w:tcPr>
                  <w:tcW w:w="58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rPr>
                  </w:pPr>
                </w:p>
              </w:tc>
            </w:tr>
            <w:tr w:rsidR="00E031F7" w:rsidRPr="00F2129C" w:rsidTr="005B5F19">
              <w:trPr>
                <w:trHeight w:val="496"/>
              </w:trPr>
              <w:tc>
                <w:tcPr>
                  <w:tcW w:w="3691" w:type="dxa"/>
                  <w:tcBorders>
                    <w:top w:val="nil"/>
                    <w:left w:val="single" w:sz="4" w:space="0" w:color="auto"/>
                    <w:bottom w:val="single" w:sz="4" w:space="0" w:color="auto"/>
                    <w:right w:val="single" w:sz="4" w:space="0" w:color="auto"/>
                  </w:tcBorders>
                  <w:shd w:val="clear" w:color="auto" w:fill="auto"/>
                  <w:vAlign w:val="bottom"/>
                  <w:hideMark/>
                </w:tcPr>
                <w:p w:rsidR="00E031F7" w:rsidRPr="0032083E" w:rsidRDefault="00E031F7" w:rsidP="005B5F19">
                  <w:pPr>
                    <w:spacing w:after="0" w:line="240" w:lineRule="auto"/>
                    <w:rPr>
                      <w:rFonts w:eastAsia="Times New Roman"/>
                      <w:sz w:val="20"/>
                      <w:szCs w:val="20"/>
                    </w:rPr>
                  </w:pPr>
                  <w:r w:rsidRPr="0032083E">
                    <w:rPr>
                      <w:rFonts w:eastAsia="Times New Roman"/>
                      <w:sz w:val="20"/>
                      <w:szCs w:val="20"/>
                    </w:rPr>
                    <w:t xml:space="preserve">Izrada finalne verzije Modela za bolje upravljanje i održivo korištenje prirodnih resursa područja kanjona rijeke </w:t>
                  </w:r>
                  <w:proofErr w:type="spellStart"/>
                  <w:r w:rsidRPr="0032083E">
                    <w:rPr>
                      <w:rFonts w:eastAsia="Times New Roman"/>
                      <w:sz w:val="20"/>
                      <w:szCs w:val="20"/>
                    </w:rPr>
                    <w:t>Čikole</w:t>
                  </w:r>
                  <w:proofErr w:type="spellEnd"/>
                </w:p>
              </w:tc>
              <w:tc>
                <w:tcPr>
                  <w:tcW w:w="39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1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jc w:val="center"/>
                    <w:rPr>
                      <w:rFonts w:eastAsia="Times New Roman"/>
                      <w:b/>
                      <w:bCs/>
                      <w:sz w:val="20"/>
                      <w:szCs w:val="20"/>
                    </w:rPr>
                  </w:pPr>
                  <w:r w:rsidRPr="00F2129C">
                    <w:rPr>
                      <w:rFonts w:eastAsia="Times New Roman"/>
                      <w:b/>
                      <w:bCs/>
                      <w:sz w:val="20"/>
                      <w:szCs w:val="20"/>
                    </w:rPr>
                    <w:t>x</w:t>
                  </w:r>
                </w:p>
              </w:tc>
              <w:tc>
                <w:tcPr>
                  <w:tcW w:w="402" w:type="dxa"/>
                  <w:tcBorders>
                    <w:top w:val="nil"/>
                    <w:left w:val="nil"/>
                    <w:bottom w:val="single" w:sz="4" w:space="0" w:color="auto"/>
                    <w:right w:val="single" w:sz="4" w:space="0" w:color="auto"/>
                  </w:tcBorders>
                  <w:shd w:val="clear" w:color="auto" w:fill="auto"/>
                  <w:noWrap/>
                  <w:vAlign w:val="center"/>
                  <w:hideMark/>
                </w:tcPr>
                <w:p w:rsidR="00E031F7" w:rsidRPr="00F2129C" w:rsidRDefault="00E031F7" w:rsidP="005B5F19">
                  <w:pPr>
                    <w:spacing w:after="0" w:line="240" w:lineRule="auto"/>
                    <w:rPr>
                      <w:rFonts w:eastAsia="Times New Roman"/>
                    </w:rPr>
                  </w:pPr>
                  <w:r w:rsidRPr="00F2129C">
                    <w:rPr>
                      <w:rFonts w:eastAsia="Times New Roman"/>
                    </w:rPr>
                    <w:t> </w:t>
                  </w:r>
                </w:p>
              </w:tc>
              <w:tc>
                <w:tcPr>
                  <w:tcW w:w="385"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396"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89" w:type="dxa"/>
                  <w:tcBorders>
                    <w:top w:val="nil"/>
                    <w:left w:val="nil"/>
                    <w:bottom w:val="single" w:sz="4" w:space="0" w:color="auto"/>
                    <w:right w:val="single" w:sz="4" w:space="0" w:color="auto"/>
                  </w:tcBorders>
                  <w:shd w:val="clear" w:color="auto" w:fill="auto"/>
                  <w:noWrap/>
                  <w:vAlign w:val="bottom"/>
                  <w:hideMark/>
                </w:tcPr>
                <w:p w:rsidR="00E031F7" w:rsidRPr="00F2129C" w:rsidRDefault="00E031F7" w:rsidP="005B5F19">
                  <w:pPr>
                    <w:spacing w:after="0" w:line="240" w:lineRule="auto"/>
                    <w:rPr>
                      <w:rFonts w:eastAsia="Times New Roman"/>
                    </w:rPr>
                  </w:pPr>
                  <w:r w:rsidRPr="00F2129C">
                    <w:rPr>
                      <w:rFonts w:eastAsia="Times New Roman"/>
                    </w:rPr>
                    <w:t> </w:t>
                  </w:r>
                </w:p>
              </w:tc>
              <w:tc>
                <w:tcPr>
                  <w:tcW w:w="549" w:type="dxa"/>
                  <w:tcBorders>
                    <w:top w:val="nil"/>
                    <w:left w:val="nil"/>
                    <w:bottom w:val="single" w:sz="4" w:space="0" w:color="auto"/>
                    <w:right w:val="single" w:sz="4" w:space="0" w:color="auto"/>
                  </w:tcBorders>
                </w:tcPr>
                <w:p w:rsidR="00E031F7" w:rsidRPr="00F2129C" w:rsidRDefault="00E031F7" w:rsidP="005B5F19">
                  <w:pPr>
                    <w:spacing w:after="0" w:line="240" w:lineRule="auto"/>
                    <w:rPr>
                      <w:rFonts w:eastAsia="Times New Roman"/>
                    </w:rPr>
                  </w:pPr>
                </w:p>
              </w:tc>
            </w:tr>
          </w:tbl>
          <w:p w:rsidR="00E031F7" w:rsidRPr="00581110" w:rsidRDefault="00E031F7" w:rsidP="005B5F19">
            <w:pPr>
              <w:jc w:val="both"/>
              <w:rPr>
                <w:rFonts w:eastAsia="Times New Roman" w:cs="Arial"/>
              </w:rPr>
            </w:pPr>
          </w:p>
        </w:tc>
      </w:tr>
    </w:tbl>
    <w:p w:rsidR="00E031F7" w:rsidRDefault="00E031F7" w:rsidP="005A6A5D">
      <w:bookmarkStart w:id="0" w:name="_GoBack"/>
      <w:bookmarkEnd w:id="0"/>
    </w:p>
    <w:sectPr w:rsidR="00E031F7" w:rsidSect="006948D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565" w:rsidRDefault="003F2565" w:rsidP="00A00353">
      <w:pPr>
        <w:spacing w:after="0" w:line="240" w:lineRule="auto"/>
      </w:pPr>
      <w:r>
        <w:separator/>
      </w:r>
    </w:p>
  </w:endnote>
  <w:endnote w:type="continuationSeparator" w:id="0">
    <w:p w:rsidR="003F2565" w:rsidRDefault="003F2565" w:rsidP="00A0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ontserrat">
    <w:altName w:val="Courier New"/>
    <w:panose1 w:val="00000000000000000000"/>
    <w:charset w:val="00"/>
    <w:family w:val="modern"/>
    <w:notTrueType/>
    <w:pitch w:val="variable"/>
    <w:sig w:usb0="00000001" w:usb1="00000001" w:usb2="00000000" w:usb3="00000000" w:csb0="00000193" w:csb1="00000000"/>
  </w:font>
  <w:font w:name="DINPro-Medium">
    <w:altName w:val="Calibri"/>
    <w:panose1 w:val="00000000000000000000"/>
    <w:charset w:val="00"/>
    <w:family w:val="modern"/>
    <w:notTrueType/>
    <w:pitch w:val="variable"/>
    <w:sig w:usb0="800002AF" w:usb1="4000206A" w:usb2="00000000" w:usb3="00000000" w:csb0="0000009F" w:csb1="00000000"/>
  </w:font>
  <w:font w:name="DINPro-Light">
    <w:altName w:val="Calibri"/>
    <w:panose1 w:val="00000000000000000000"/>
    <w:charset w:val="00"/>
    <w:family w:val="modern"/>
    <w:notTrueType/>
    <w:pitch w:val="variable"/>
    <w:sig w:usb0="800002AF" w:usb1="4000206A"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353" w:rsidRDefault="00827A6D">
    <w:pPr>
      <w:pStyle w:val="Podnoje"/>
      <w:rPr>
        <w:sz w:val="20"/>
        <w:szCs w:val="20"/>
      </w:rPr>
    </w:pPr>
    <w:r>
      <w:rPr>
        <w:noProof/>
        <w:sz w:val="20"/>
        <w:szCs w:val="20"/>
      </w:rPr>
      <w:drawing>
        <wp:anchor distT="0" distB="0" distL="114300" distR="114300" simplePos="0" relativeHeight="251662336" behindDoc="0" locked="0" layoutInCell="1" allowOverlap="1">
          <wp:simplePos x="0" y="0"/>
          <wp:positionH relativeFrom="column">
            <wp:posOffset>5519420</wp:posOffset>
          </wp:positionH>
          <wp:positionV relativeFrom="paragraph">
            <wp:posOffset>133985</wp:posOffset>
          </wp:positionV>
          <wp:extent cx="666750" cy="542925"/>
          <wp:effectExtent l="19050" t="0" r="0" b="0"/>
          <wp:wrapThrough wrapText="bothSides">
            <wp:wrapPolygon edited="0">
              <wp:start x="-617" y="758"/>
              <wp:lineTo x="-617" y="20463"/>
              <wp:lineTo x="21600" y="20463"/>
              <wp:lineTo x="21600" y="758"/>
              <wp:lineTo x="-617" y="758"/>
            </wp:wrapPolygon>
          </wp:wrapThrough>
          <wp:docPr id="8" name="Picture 7" descr="EU_fla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01.png"/>
                  <pic:cNvPicPr/>
                </pic:nvPicPr>
                <pic:blipFill>
                  <a:blip r:embed="rId1"/>
                  <a:stretch>
                    <a:fillRect/>
                  </a:stretch>
                </pic:blipFill>
                <pic:spPr>
                  <a:xfrm>
                    <a:off x="0" y="0"/>
                    <a:ext cx="666750" cy="542925"/>
                  </a:xfrm>
                  <a:prstGeom prst="rect">
                    <a:avLst/>
                  </a:prstGeom>
                </pic:spPr>
              </pic:pic>
            </a:graphicData>
          </a:graphic>
        </wp:anchor>
      </w:drawing>
    </w:r>
    <w:r w:rsidR="00ED6BC4">
      <w:rPr>
        <w:sz w:val="20"/>
        <w:szCs w:val="20"/>
      </w:rPr>
      <w:t xml:space="preserve">                                                        </w:t>
    </w:r>
  </w:p>
  <w:p w:rsidR="00ED6BC4" w:rsidRPr="00EB6FE9" w:rsidRDefault="00ED6BC4">
    <w:pPr>
      <w:pStyle w:val="Podnoje"/>
      <w:rPr>
        <w:sz w:val="20"/>
        <w:szCs w:val="20"/>
      </w:rPr>
    </w:pPr>
  </w:p>
  <w:p w:rsidR="00ED6BC4" w:rsidRDefault="00ED6BC4" w:rsidP="00ED6BC4">
    <w:pPr>
      <w:pStyle w:val="Podnoje"/>
      <w:rPr>
        <w:rFonts w:ascii="DINPro-Medium" w:hAnsi="DINPro-Medium"/>
        <w:sz w:val="20"/>
        <w:szCs w:val="20"/>
      </w:rPr>
    </w:pPr>
    <w:r w:rsidRPr="00F27681">
      <w:rPr>
        <w:noProof/>
      </w:rPr>
      <w:drawing>
        <wp:inline distT="0" distB="0" distL="0" distR="0" wp14:anchorId="71D508FF" wp14:editId="14C70B10">
          <wp:extent cx="533400" cy="695325"/>
          <wp:effectExtent l="0" t="0" r="0" b="9525"/>
          <wp:docPr id="3" name="Slika 3" descr="[Drni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niš]"/>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33400" cy="695325"/>
                  </a:xfrm>
                  <a:prstGeom prst="rect">
                    <a:avLst/>
                  </a:prstGeom>
                  <a:noFill/>
                  <a:ln>
                    <a:noFill/>
                  </a:ln>
                </pic:spPr>
              </pic:pic>
            </a:graphicData>
          </a:graphic>
        </wp:inline>
      </w:drawing>
    </w:r>
    <w:r>
      <w:rPr>
        <w:rFonts w:ascii="DINPro-Medium" w:hAnsi="DINPro-Medium"/>
        <w:sz w:val="20"/>
        <w:szCs w:val="20"/>
      </w:rPr>
      <w:t xml:space="preserve">  </w:t>
    </w:r>
  </w:p>
  <w:p w:rsidR="00A00353" w:rsidRPr="00EB6FE9" w:rsidRDefault="00ED6BC4" w:rsidP="00ED6BC4">
    <w:pPr>
      <w:pStyle w:val="Podnoje"/>
      <w:rPr>
        <w:rFonts w:ascii="DINPro-Light" w:hAnsi="DINPro-Light"/>
        <w:sz w:val="20"/>
        <w:szCs w:val="20"/>
      </w:rPr>
    </w:pPr>
    <w:r>
      <w:rPr>
        <w:rFonts w:ascii="DINPro-Medium" w:hAnsi="DINPro-Medium"/>
        <w:sz w:val="20"/>
        <w:szCs w:val="20"/>
      </w:rPr>
      <w:t xml:space="preserve">Grad Drniš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565" w:rsidRDefault="003F2565" w:rsidP="00A00353">
      <w:pPr>
        <w:spacing w:after="0" w:line="240" w:lineRule="auto"/>
      </w:pPr>
      <w:r>
        <w:separator/>
      </w:r>
    </w:p>
  </w:footnote>
  <w:footnote w:type="continuationSeparator" w:id="0">
    <w:p w:rsidR="003F2565" w:rsidRDefault="003F2565" w:rsidP="00A00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353" w:rsidRDefault="001D3914">
    <w:pPr>
      <w:pStyle w:val="Zaglavlje"/>
    </w:pPr>
    <w:r>
      <w:rPr>
        <w:noProof/>
      </w:rPr>
      <w:drawing>
        <wp:anchor distT="0" distB="0" distL="114300" distR="114300" simplePos="0" relativeHeight="251660288" behindDoc="0" locked="0" layoutInCell="1" allowOverlap="1">
          <wp:simplePos x="0" y="0"/>
          <wp:positionH relativeFrom="column">
            <wp:posOffset>-518795</wp:posOffset>
          </wp:positionH>
          <wp:positionV relativeFrom="paragraph">
            <wp:posOffset>-106680</wp:posOffset>
          </wp:positionV>
          <wp:extent cx="2894330" cy="552450"/>
          <wp:effectExtent l="19050" t="0" r="1270" b="0"/>
          <wp:wrapThrough wrapText="bothSides">
            <wp:wrapPolygon edited="0">
              <wp:start x="-142" y="0"/>
              <wp:lineTo x="-142" y="20855"/>
              <wp:lineTo x="21609" y="20855"/>
              <wp:lineTo x="21609" y="0"/>
              <wp:lineTo x="-142" y="0"/>
            </wp:wrapPolygon>
          </wp:wrapThrough>
          <wp:docPr id="6" name="Picture 5" descr="Interreg-Croatia-BiH-CG_english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Croatia-BiH-CG_english_RGB.png"/>
                  <pic:cNvPicPr/>
                </pic:nvPicPr>
                <pic:blipFill>
                  <a:blip r:embed="rId1"/>
                  <a:stretch>
                    <a:fillRect/>
                  </a:stretch>
                </pic:blipFill>
                <pic:spPr>
                  <a:xfrm>
                    <a:off x="0" y="0"/>
                    <a:ext cx="2894330" cy="552450"/>
                  </a:xfrm>
                  <a:prstGeom prst="rect">
                    <a:avLst/>
                  </a:prstGeom>
                </pic:spPr>
              </pic:pic>
            </a:graphicData>
          </a:graphic>
        </wp:anchor>
      </w:drawing>
    </w:r>
  </w:p>
  <w:p w:rsidR="00A00353" w:rsidRDefault="00A00353">
    <w:pPr>
      <w:pStyle w:val="Zaglavlje"/>
    </w:pPr>
  </w:p>
  <w:p w:rsidR="002F6E5F" w:rsidRDefault="002F6E5F">
    <w:pPr>
      <w:pStyle w:val="Zaglavlje"/>
      <w:rPr>
        <w:rFonts w:ascii="Montserrat" w:hAnsi="Montserrat"/>
        <w:color w:val="053399"/>
        <w:sz w:val="16"/>
        <w:szCs w:val="16"/>
      </w:rPr>
    </w:pPr>
  </w:p>
  <w:p w:rsidR="00E5598D" w:rsidRPr="009573FE" w:rsidRDefault="00E5598D" w:rsidP="002F6E5F">
    <w:pPr>
      <w:pStyle w:val="Zaglavlje"/>
      <w:ind w:left="-709" w:firstLine="709"/>
      <w:rPr>
        <w:rFonts w:ascii="Montserrat" w:hAnsi="Montserrat"/>
        <w:color w:val="053399"/>
        <w:sz w:val="16"/>
        <w:szCs w:val="16"/>
      </w:rPr>
    </w:pPr>
    <w:r w:rsidRPr="009573FE">
      <w:rPr>
        <w:rFonts w:ascii="Montserrat" w:hAnsi="Montserrat"/>
        <w:color w:val="053399"/>
        <w:sz w:val="16"/>
        <w:szCs w:val="16"/>
      </w:rPr>
      <w:t>ADRIATIC CANYONING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90A12"/>
    <w:multiLevelType w:val="multilevel"/>
    <w:tmpl w:val="1DD6F85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51BB3"/>
    <w:multiLevelType w:val="hybridMultilevel"/>
    <w:tmpl w:val="C160F1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78145A"/>
    <w:multiLevelType w:val="hybridMultilevel"/>
    <w:tmpl w:val="32E6F6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7C1A5E"/>
    <w:multiLevelType w:val="hybridMultilevel"/>
    <w:tmpl w:val="1F72DA20"/>
    <w:lvl w:ilvl="0" w:tplc="041A0001">
      <w:start w:val="1"/>
      <w:numFmt w:val="bullet"/>
      <w:lvlText w:val=""/>
      <w:lvlJc w:val="left"/>
      <w:pPr>
        <w:ind w:left="420" w:hanging="360"/>
      </w:pPr>
      <w:rPr>
        <w:rFonts w:ascii="Symbol" w:hAnsi="Symbo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4" w15:restartNumberingAfterBreak="0">
    <w:nsid w:val="217A0A69"/>
    <w:multiLevelType w:val="multilevel"/>
    <w:tmpl w:val="16F06EB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 w15:restartNumberingAfterBreak="0">
    <w:nsid w:val="2FEF2566"/>
    <w:multiLevelType w:val="multilevel"/>
    <w:tmpl w:val="04F0A59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19E3C2F"/>
    <w:multiLevelType w:val="hybridMultilevel"/>
    <w:tmpl w:val="33F6B5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43768A2"/>
    <w:multiLevelType w:val="hybridMultilevel"/>
    <w:tmpl w:val="619292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EF"/>
    <w:rsid w:val="00087AE8"/>
    <w:rsid w:val="001D3914"/>
    <w:rsid w:val="001E43FA"/>
    <w:rsid w:val="00273AF5"/>
    <w:rsid w:val="002E3D9B"/>
    <w:rsid w:val="002F6E5F"/>
    <w:rsid w:val="003C4ECB"/>
    <w:rsid w:val="003E0626"/>
    <w:rsid w:val="003F2565"/>
    <w:rsid w:val="004F2B9E"/>
    <w:rsid w:val="00507489"/>
    <w:rsid w:val="00546CBB"/>
    <w:rsid w:val="005A6A5D"/>
    <w:rsid w:val="006549C1"/>
    <w:rsid w:val="006948DD"/>
    <w:rsid w:val="006B40CB"/>
    <w:rsid w:val="0073771F"/>
    <w:rsid w:val="007F4652"/>
    <w:rsid w:val="00827A6D"/>
    <w:rsid w:val="0083780A"/>
    <w:rsid w:val="00926E3F"/>
    <w:rsid w:val="00930DDA"/>
    <w:rsid w:val="009573FE"/>
    <w:rsid w:val="00973402"/>
    <w:rsid w:val="009E2AC6"/>
    <w:rsid w:val="00A00353"/>
    <w:rsid w:val="00A34D36"/>
    <w:rsid w:val="00B442DF"/>
    <w:rsid w:val="00B76C4F"/>
    <w:rsid w:val="00C13EBD"/>
    <w:rsid w:val="00C76B5B"/>
    <w:rsid w:val="00D359C6"/>
    <w:rsid w:val="00E031F7"/>
    <w:rsid w:val="00E270E5"/>
    <w:rsid w:val="00E5598D"/>
    <w:rsid w:val="00E733F7"/>
    <w:rsid w:val="00E735E9"/>
    <w:rsid w:val="00EB6FE9"/>
    <w:rsid w:val="00ED3696"/>
    <w:rsid w:val="00ED6BC4"/>
    <w:rsid w:val="00EF66EF"/>
    <w:rsid w:val="00F351B9"/>
    <w:rsid w:val="00F722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D3D573-86BF-4B4C-B16F-C77147DD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2B9E"/>
    <w:pPr>
      <w:pBdr>
        <w:top w:val="nil"/>
        <w:left w:val="nil"/>
        <w:bottom w:val="nil"/>
        <w:right w:val="nil"/>
        <w:between w:val="nil"/>
      </w:pBdr>
    </w:pPr>
    <w:rPr>
      <w:rFonts w:ascii="Calibri" w:eastAsia="Calibri" w:hAnsi="Calibri" w:cs="Calibri"/>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EF66EF"/>
    <w:pPr>
      <w:spacing w:before="100" w:beforeAutospacing="1" w:after="100" w:afterAutospacing="1" w:line="240" w:lineRule="auto"/>
    </w:pPr>
    <w:rPr>
      <w:rFonts w:ascii="Times New Roman" w:eastAsia="Times New Roman" w:hAnsi="Times New Roman" w:cs="Times New Roman"/>
      <w:sz w:val="24"/>
      <w:szCs w:val="24"/>
    </w:rPr>
  </w:style>
  <w:style w:type="character" w:styleId="Naglaeno">
    <w:name w:val="Strong"/>
    <w:basedOn w:val="Zadanifontodlomka"/>
    <w:uiPriority w:val="22"/>
    <w:qFormat/>
    <w:rsid w:val="00EF66EF"/>
    <w:rPr>
      <w:b/>
      <w:bCs/>
    </w:rPr>
  </w:style>
  <w:style w:type="paragraph" w:styleId="Tekstbalonia">
    <w:name w:val="Balloon Text"/>
    <w:basedOn w:val="Normal"/>
    <w:link w:val="TekstbaloniaChar"/>
    <w:uiPriority w:val="99"/>
    <w:semiHidden/>
    <w:unhideWhenUsed/>
    <w:rsid w:val="005A6A5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6A5D"/>
    <w:rPr>
      <w:rFonts w:ascii="Tahoma" w:hAnsi="Tahoma" w:cs="Tahoma"/>
      <w:sz w:val="16"/>
      <w:szCs w:val="16"/>
    </w:rPr>
  </w:style>
  <w:style w:type="paragraph" w:styleId="Zaglavlje">
    <w:name w:val="header"/>
    <w:basedOn w:val="Normal"/>
    <w:link w:val="ZaglavljeChar"/>
    <w:uiPriority w:val="99"/>
    <w:unhideWhenUsed/>
    <w:rsid w:val="00A0035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00353"/>
  </w:style>
  <w:style w:type="paragraph" w:styleId="Podnoje">
    <w:name w:val="footer"/>
    <w:basedOn w:val="Normal"/>
    <w:link w:val="PodnojeChar"/>
    <w:uiPriority w:val="99"/>
    <w:unhideWhenUsed/>
    <w:rsid w:val="00A0035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00353"/>
  </w:style>
  <w:style w:type="character" w:styleId="Hiperveza">
    <w:name w:val="Hyperlink"/>
    <w:basedOn w:val="Zadanifontodlomka"/>
    <w:uiPriority w:val="99"/>
    <w:unhideWhenUsed/>
    <w:rsid w:val="009E2AC6"/>
    <w:rPr>
      <w:color w:val="0563C1" w:themeColor="hyperlink"/>
      <w:u w:val="single"/>
    </w:rPr>
  </w:style>
  <w:style w:type="paragraph" w:styleId="Odlomakpopisa">
    <w:name w:val="List Paragraph"/>
    <w:basedOn w:val="Normal"/>
    <w:uiPriority w:val="34"/>
    <w:qFormat/>
    <w:rsid w:val="004F2B9E"/>
    <w:pPr>
      <w:ind w:left="720"/>
      <w:contextualSpacing/>
    </w:pPr>
  </w:style>
  <w:style w:type="character" w:styleId="Referencakomentara">
    <w:name w:val="annotation reference"/>
    <w:uiPriority w:val="99"/>
    <w:semiHidden/>
    <w:unhideWhenUsed/>
    <w:rsid w:val="004F2B9E"/>
    <w:rPr>
      <w:sz w:val="16"/>
      <w:szCs w:val="16"/>
    </w:rPr>
  </w:style>
  <w:style w:type="paragraph" w:styleId="Tekstkomentara">
    <w:name w:val="annotation text"/>
    <w:basedOn w:val="Normal"/>
    <w:link w:val="TekstkomentaraChar"/>
    <w:uiPriority w:val="99"/>
    <w:unhideWhenUsed/>
    <w:rsid w:val="004F2B9E"/>
    <w:pPr>
      <w:spacing w:line="240" w:lineRule="auto"/>
    </w:pPr>
    <w:rPr>
      <w:sz w:val="20"/>
      <w:szCs w:val="20"/>
    </w:rPr>
  </w:style>
  <w:style w:type="character" w:customStyle="1" w:styleId="TekstkomentaraChar">
    <w:name w:val="Tekst komentara Char"/>
    <w:basedOn w:val="Zadanifontodlomka"/>
    <w:link w:val="Tekstkomentara"/>
    <w:uiPriority w:val="99"/>
    <w:rsid w:val="004F2B9E"/>
    <w:rPr>
      <w:rFonts w:ascii="Calibri" w:eastAsia="Calibri" w:hAnsi="Calibri" w:cs="Calibri"/>
      <w:color w:val="000000"/>
      <w:sz w:val="20"/>
      <w:szCs w:val="20"/>
      <w:lang w:eastAsia="hr-HR"/>
    </w:rPr>
  </w:style>
  <w:style w:type="paragraph" w:customStyle="1" w:styleId="Normal1">
    <w:name w:val="Normal1"/>
    <w:rsid w:val="004F2B9E"/>
    <w:pPr>
      <w:pBdr>
        <w:top w:val="nil"/>
        <w:left w:val="nil"/>
        <w:bottom w:val="nil"/>
        <w:right w:val="nil"/>
        <w:between w:val="nil"/>
      </w:pBdr>
    </w:pPr>
    <w:rPr>
      <w:rFonts w:ascii="Calibri" w:eastAsia="Calibri" w:hAnsi="Calibri" w:cs="Calibri"/>
      <w:color w:val="000000"/>
      <w:lang w:eastAsia="hr-HR"/>
    </w:rPr>
  </w:style>
  <w:style w:type="paragraph" w:styleId="Bezproreda">
    <w:name w:val="No Spacing"/>
    <w:uiPriority w:val="1"/>
    <w:qFormat/>
    <w:rsid w:val="004F2B9E"/>
    <w:pPr>
      <w:pBdr>
        <w:top w:val="nil"/>
        <w:left w:val="nil"/>
        <w:bottom w:val="nil"/>
        <w:right w:val="nil"/>
        <w:between w:val="nil"/>
      </w:pBdr>
      <w:spacing w:after="0" w:line="240" w:lineRule="auto"/>
    </w:pPr>
    <w:rPr>
      <w:rFonts w:ascii="Calibri" w:eastAsia="Calibri" w:hAnsi="Calibri" w:cs="Calibri"/>
      <w:color w:val="00000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7036">
      <w:bodyDiv w:val="1"/>
      <w:marLeft w:val="0"/>
      <w:marRight w:val="0"/>
      <w:marTop w:val="0"/>
      <w:marBottom w:val="0"/>
      <w:divBdr>
        <w:top w:val="none" w:sz="0" w:space="0" w:color="auto"/>
        <w:left w:val="none" w:sz="0" w:space="0" w:color="auto"/>
        <w:bottom w:val="none" w:sz="0" w:space="0" w:color="auto"/>
        <w:right w:val="none" w:sz="0" w:space="0" w:color="auto"/>
      </w:divBdr>
    </w:div>
    <w:div w:id="93069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3688</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Ivana Sučić</cp:lastModifiedBy>
  <cp:revision>2</cp:revision>
  <cp:lastPrinted>2017-07-27T08:00:00Z</cp:lastPrinted>
  <dcterms:created xsi:type="dcterms:W3CDTF">2017-12-12T12:56:00Z</dcterms:created>
  <dcterms:modified xsi:type="dcterms:W3CDTF">2017-12-12T12:56:00Z</dcterms:modified>
</cp:coreProperties>
</file>