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658" w:rsidRDefault="00A67658" w:rsidP="00A30AD7">
      <w:pPr>
        <w:pStyle w:val="Bezproreda"/>
        <w:jc w:val="right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both"/>
        <w:rPr>
          <w:rFonts w:ascii="Arial" w:eastAsia="Calibri" w:hAnsi="Arial" w:cs="Arial"/>
        </w:rPr>
      </w:pPr>
    </w:p>
    <w:p w:rsidR="00F66CB8" w:rsidRDefault="00F66CB8" w:rsidP="00F66CB8">
      <w:pPr>
        <w:pStyle w:val="Bezproreda"/>
        <w:ind w:firstLine="7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Na temelju članka 178. Zakona o održivom gospodarenju otpadom </w:t>
      </w:r>
      <w:r>
        <w:rPr>
          <w:rFonts w:ascii="Arial" w:eastAsia="Arial" w:hAnsi="Arial" w:cs="Arial"/>
          <w:i/>
        </w:rPr>
        <w:t>(„Narodne novine“, broj 94/13 ,73/17 i 14/19),</w:t>
      </w:r>
      <w:r>
        <w:rPr>
          <w:rFonts w:ascii="Arial" w:eastAsia="Arial" w:hAnsi="Arial" w:cs="Arial"/>
        </w:rPr>
        <w:t xml:space="preserve"> članka 35. Zakona o lokalnoj i područnoj (regionalnoj) samoupravi </w:t>
      </w:r>
      <w:r>
        <w:rPr>
          <w:rFonts w:ascii="Arial" w:eastAsia="Arial" w:hAnsi="Arial" w:cs="Arial"/>
          <w:i/>
        </w:rPr>
        <w:t>(„Narodne novine“, broj 33/01, 60/01, 106/03, 129/05, 109/07, 125/08, 36/09, 130/11, 144/12, 19/13, 137/15</w:t>
      </w:r>
      <w:r w:rsidR="00585818">
        <w:rPr>
          <w:rFonts w:ascii="Arial" w:eastAsia="Arial" w:hAnsi="Arial" w:cs="Arial"/>
          <w:i/>
        </w:rPr>
        <w:t>-Ispravak i 123</w:t>
      </w:r>
      <w:r>
        <w:rPr>
          <w:rFonts w:ascii="Arial" w:eastAsia="Arial" w:hAnsi="Arial" w:cs="Arial"/>
          <w:i/>
        </w:rPr>
        <w:t>/17),</w:t>
      </w:r>
      <w:r>
        <w:rPr>
          <w:rFonts w:ascii="Arial" w:eastAsia="Arial" w:hAnsi="Arial" w:cs="Arial"/>
        </w:rPr>
        <w:t xml:space="preserve"> a u skladu s  Odlukom o redoslijedu i dinamici zatvaranja odlagališta </w:t>
      </w:r>
      <w:r>
        <w:rPr>
          <w:rFonts w:ascii="Arial" w:eastAsia="Arial" w:hAnsi="Arial" w:cs="Arial"/>
          <w:i/>
        </w:rPr>
        <w:t>(„Narodne novine“, broj 3/19 i 17/19</w:t>
      </w:r>
      <w:r>
        <w:rPr>
          <w:rFonts w:ascii="Arial" w:eastAsia="Arial" w:hAnsi="Arial" w:cs="Arial"/>
        </w:rPr>
        <w:t xml:space="preserve">) i članka 50. Statuta Grada Drniša </w:t>
      </w:r>
      <w:r>
        <w:rPr>
          <w:rFonts w:ascii="Arial" w:eastAsia="Arial" w:hAnsi="Arial" w:cs="Arial"/>
          <w:i/>
        </w:rPr>
        <w:t xml:space="preserve">(„Službeni vjesnik Šibensko-kninske županije“, broj 15/09, 4/13, 11/13, 14/13 i „Službeni </w:t>
      </w:r>
      <w:r w:rsidR="008D4E8C">
        <w:rPr>
          <w:rFonts w:ascii="Arial" w:eastAsia="Arial" w:hAnsi="Arial" w:cs="Arial"/>
          <w:i/>
        </w:rPr>
        <w:t>glasnik Grada Drniša“, broj 4/15</w:t>
      </w:r>
      <w:r>
        <w:rPr>
          <w:rFonts w:ascii="Arial" w:eastAsia="Arial" w:hAnsi="Arial" w:cs="Arial"/>
          <w:i/>
        </w:rPr>
        <w:t>, 1/18 i 1/19-pročišćeni tekst),</w:t>
      </w:r>
      <w:r>
        <w:rPr>
          <w:rFonts w:ascii="Arial" w:eastAsia="Arial" w:hAnsi="Arial" w:cs="Arial"/>
        </w:rPr>
        <w:t xml:space="preserve"> Gradsko vijeće Grada Drniša  na svojoj 14</w:t>
      </w:r>
      <w:r w:rsidR="008D4E8C">
        <w:rPr>
          <w:rFonts w:ascii="Arial" w:eastAsia="Arial" w:hAnsi="Arial" w:cs="Arial"/>
        </w:rPr>
        <w:t>. sjednici održanoj dana 26.</w:t>
      </w:r>
      <w:r>
        <w:rPr>
          <w:rFonts w:ascii="Arial" w:eastAsia="Arial" w:hAnsi="Arial" w:cs="Arial"/>
        </w:rPr>
        <w:t xml:space="preserve">03.2019. godine, donijelo je </w:t>
      </w:r>
    </w:p>
    <w:p w:rsidR="00F66CB8" w:rsidRDefault="00F66CB8" w:rsidP="00F66CB8">
      <w:pPr>
        <w:pStyle w:val="Bezproreda"/>
        <w:jc w:val="both"/>
        <w:rPr>
          <w:rFonts w:ascii="Arial" w:eastAsia="Arial" w:hAnsi="Arial" w:cs="Arial"/>
        </w:rPr>
      </w:pPr>
    </w:p>
    <w:p w:rsidR="00F66CB8" w:rsidRDefault="00F66CB8" w:rsidP="00F66CB8">
      <w:pPr>
        <w:pStyle w:val="Bezproreda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O D L U K U</w:t>
      </w:r>
    </w:p>
    <w:p w:rsidR="00F66CB8" w:rsidRDefault="00F66CB8" w:rsidP="00F66CB8">
      <w:pPr>
        <w:pStyle w:val="Bezproreda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o zatvaranju  i sanaciji odlagališta neopasnog (komunalnog) otpada</w:t>
      </w:r>
    </w:p>
    <w:p w:rsidR="00F66CB8" w:rsidRDefault="00F66CB8" w:rsidP="00F66CB8">
      <w:pPr>
        <w:pStyle w:val="Bezproreda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„MOSEĆ“  u Drnišu</w:t>
      </w:r>
    </w:p>
    <w:p w:rsidR="00F66CB8" w:rsidRDefault="00F66CB8" w:rsidP="00F66CB8">
      <w:pPr>
        <w:pStyle w:val="Bezproreda"/>
        <w:jc w:val="both"/>
        <w:rPr>
          <w:rFonts w:ascii="Arial" w:eastAsia="Calibri" w:hAnsi="Arial" w:cs="Arial"/>
        </w:rPr>
      </w:pPr>
    </w:p>
    <w:p w:rsidR="00F66CB8" w:rsidRDefault="00F66CB8" w:rsidP="00F66CB8">
      <w:pPr>
        <w:pStyle w:val="Bezproreda"/>
        <w:jc w:val="both"/>
        <w:rPr>
          <w:rFonts w:ascii="Arial" w:eastAsia="Calibri" w:hAnsi="Arial" w:cs="Arial"/>
        </w:rPr>
      </w:pPr>
    </w:p>
    <w:p w:rsidR="00F66CB8" w:rsidRDefault="00F66CB8" w:rsidP="00F66CB8">
      <w:pPr>
        <w:pStyle w:val="Bezproreda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Članak 1.</w:t>
      </w:r>
    </w:p>
    <w:p w:rsidR="00F66CB8" w:rsidRDefault="00F66CB8" w:rsidP="00F66CB8">
      <w:pPr>
        <w:pStyle w:val="Bezproreda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Odlagalište neopasnog komunalnog otpada „MOSEĆ“, koje je smješteno na </w:t>
      </w:r>
      <w:proofErr w:type="spellStart"/>
      <w:r>
        <w:rPr>
          <w:rFonts w:ascii="Arial" w:eastAsia="Arial" w:hAnsi="Arial" w:cs="Arial"/>
        </w:rPr>
        <w:t>k.č</w:t>
      </w:r>
      <w:proofErr w:type="spellEnd"/>
      <w:r>
        <w:rPr>
          <w:rFonts w:ascii="Arial" w:eastAsia="Arial" w:hAnsi="Arial" w:cs="Arial"/>
        </w:rPr>
        <w:t xml:space="preserve">. br. 423/27 k.o. Drniš kojim upravlja trgovačko društvo „GRADSKA ČISTOĆA DRNIŠ“ d.o.o., Drniš, a na kojem se odlaže </w:t>
      </w:r>
      <w:proofErr w:type="spellStart"/>
      <w:r>
        <w:rPr>
          <w:rFonts w:ascii="Arial" w:eastAsia="Arial" w:hAnsi="Arial" w:cs="Arial"/>
        </w:rPr>
        <w:t>mješani</w:t>
      </w:r>
      <w:proofErr w:type="spellEnd"/>
      <w:r>
        <w:rPr>
          <w:rFonts w:ascii="Arial" w:eastAsia="Arial" w:hAnsi="Arial" w:cs="Arial"/>
        </w:rPr>
        <w:t xml:space="preserve"> komunalni otpad s područja Grada Drniša i Općine</w:t>
      </w:r>
      <w:r>
        <w:rPr>
          <w:rFonts w:ascii="Arial" w:eastAsia="Arial" w:hAnsi="Arial" w:cs="Arial"/>
          <w:color w:val="000000"/>
        </w:rPr>
        <w:t xml:space="preserve"> Ružić</w:t>
      </w:r>
      <w:r>
        <w:rPr>
          <w:rFonts w:ascii="Arial" w:eastAsia="Arial" w:hAnsi="Arial" w:cs="Arial"/>
        </w:rPr>
        <w:t xml:space="preserve">, zatvara  se za svako daljnje odlaganje </w:t>
      </w:r>
      <w:proofErr w:type="spellStart"/>
      <w:r>
        <w:rPr>
          <w:rFonts w:ascii="Arial" w:eastAsia="Arial" w:hAnsi="Arial" w:cs="Arial"/>
        </w:rPr>
        <w:t>mješan</w:t>
      </w:r>
      <w:r w:rsidR="00B06700">
        <w:rPr>
          <w:rFonts w:ascii="Arial" w:eastAsia="Arial" w:hAnsi="Arial" w:cs="Arial"/>
        </w:rPr>
        <w:t>og</w:t>
      </w:r>
      <w:proofErr w:type="spellEnd"/>
      <w:r w:rsidR="00B06700">
        <w:rPr>
          <w:rFonts w:ascii="Arial" w:eastAsia="Arial" w:hAnsi="Arial" w:cs="Arial"/>
        </w:rPr>
        <w:t xml:space="preserve"> komunalnog otpada do kraja mjeseca</w:t>
      </w:r>
      <w:r>
        <w:rPr>
          <w:rFonts w:ascii="Arial" w:eastAsia="Arial" w:hAnsi="Arial" w:cs="Arial"/>
        </w:rPr>
        <w:t xml:space="preserve"> ožujka 2019. godine. </w:t>
      </w:r>
    </w:p>
    <w:p w:rsidR="00F66CB8" w:rsidRDefault="00F66CB8" w:rsidP="00F66CB8">
      <w:pPr>
        <w:pStyle w:val="Bezproreda"/>
        <w:jc w:val="both"/>
        <w:rPr>
          <w:rFonts w:ascii="Arial" w:eastAsia="Calibri" w:hAnsi="Arial" w:cs="Arial"/>
        </w:rPr>
      </w:pPr>
    </w:p>
    <w:p w:rsidR="00F66CB8" w:rsidRDefault="00F66CB8" w:rsidP="00F66CB8">
      <w:pPr>
        <w:pStyle w:val="Bezproreda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Članak 2.</w:t>
      </w:r>
    </w:p>
    <w:p w:rsidR="00F66CB8" w:rsidRDefault="00F66CB8" w:rsidP="00F66CB8">
      <w:pPr>
        <w:pStyle w:val="Bezproreda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Sukladno Odluci o redoslijedu i dinamici zatvaranja odlagališta („Narodne novine“, broj 3/19 i 7/19) zabranjeno je bilo kakvo odlaganje komunalnog otpada na odlagalištu „MOSEĆ“ od strane svih pravnih i fizičkih osoba kao i od strane trgovačkog društva „GRADSKA ČISTOĆA DRNIŠ“ d.o.o., Drniš koji je davatelj javne usluge prikupljanja otpada u naseljima na području Grada Drniša i Općine Ružić.</w:t>
      </w:r>
    </w:p>
    <w:p w:rsidR="00F66CB8" w:rsidRDefault="00F66CB8" w:rsidP="00F66CB8">
      <w:pPr>
        <w:pStyle w:val="Bezproreda"/>
        <w:jc w:val="both"/>
        <w:rPr>
          <w:rFonts w:ascii="Arial" w:eastAsia="Calibri" w:hAnsi="Arial" w:cs="Arial"/>
        </w:rPr>
      </w:pPr>
    </w:p>
    <w:p w:rsidR="00F66CB8" w:rsidRDefault="00F66CB8" w:rsidP="00F66CB8">
      <w:pPr>
        <w:pStyle w:val="Bezproreda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Članak 3.</w:t>
      </w:r>
    </w:p>
    <w:p w:rsidR="00F66CB8" w:rsidRDefault="00F66CB8" w:rsidP="00F66CB8">
      <w:pPr>
        <w:pStyle w:val="Bezproreda"/>
        <w:jc w:val="both"/>
        <w:rPr>
          <w:rFonts w:ascii="Arial" w:eastAsia="Arial" w:hAnsi="Arial" w:cs="Arial"/>
          <w:color w:val="C00000"/>
        </w:rPr>
      </w:pPr>
      <w:r>
        <w:rPr>
          <w:rFonts w:ascii="Arial" w:eastAsia="Arial" w:hAnsi="Arial" w:cs="Arial"/>
          <w:b/>
        </w:rPr>
        <w:t xml:space="preserve">           </w:t>
      </w:r>
      <w:r>
        <w:rPr>
          <w:rFonts w:ascii="Arial" w:eastAsia="Arial" w:hAnsi="Arial" w:cs="Arial"/>
        </w:rPr>
        <w:t>Sakupljeni miješani komunalni otpad kojeg skupi trgovačko društvo „GRADSKA ČISTOĆA DRNIŠ“ d.o.o., Drniš, nakon zatvaranja odlagališta „MOSEĆ“, zbrinjavat će se dijelom na odlagalištu u Šibeniku kojim gospodari tvrtka „BIKARAC“ d.o.o. iz Šibenika, a dijelom na odlagalištu „Mala Promina“ kojim gospodari tvrtka „ČISTOĆA I ZELENILO“ d.o.o. iz Knina (kad za isto pribave uporabnu dozvolu), na temelju međusobno sklopljenih ugovora.</w:t>
      </w:r>
    </w:p>
    <w:p w:rsidR="00F66CB8" w:rsidRDefault="00F66CB8" w:rsidP="00F66CB8">
      <w:pPr>
        <w:pStyle w:val="Bezproreda"/>
        <w:jc w:val="both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Članak 4.</w:t>
      </w:r>
    </w:p>
    <w:p w:rsidR="00F66CB8" w:rsidRDefault="00F66CB8" w:rsidP="00F66CB8">
      <w:pPr>
        <w:pStyle w:val="Bezproreda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Nakon zatvaranja odlagališta „MOSEĆ“ sukladno ovoj Odluci, Grad Drniš će po rješavanju imovinsko-pravnih pitanja nastaviti sa sanacijom predmetnog odlagališta sukladno zakonskim propisima i građevinskoj dozvoli, te će se uz suradnju sa Fondom za zaštitu okoliša i energetsku učinkovitost sufinancirati daljnji tijek sanacije.</w:t>
      </w:r>
    </w:p>
    <w:p w:rsidR="00F66CB8" w:rsidRDefault="00F66CB8" w:rsidP="00F66CB8">
      <w:pPr>
        <w:pStyle w:val="Bezproreda"/>
        <w:jc w:val="both"/>
        <w:rPr>
          <w:rFonts w:ascii="Arial" w:eastAsia="Calibri" w:hAnsi="Arial" w:cs="Arial"/>
        </w:rPr>
      </w:pPr>
    </w:p>
    <w:p w:rsidR="00F66CB8" w:rsidRDefault="00F66CB8" w:rsidP="00F66CB8">
      <w:pPr>
        <w:pStyle w:val="Bezproreda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Članak 5.</w:t>
      </w:r>
    </w:p>
    <w:p w:rsidR="00F66CB8" w:rsidRDefault="00F66CB8" w:rsidP="00F66CB8">
      <w:pPr>
        <w:pStyle w:val="Bezproreda"/>
        <w:ind w:firstLine="7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Nadzor nad provođenjem zabrane odlaganja </w:t>
      </w:r>
      <w:proofErr w:type="spellStart"/>
      <w:r>
        <w:rPr>
          <w:rFonts w:ascii="Arial" w:eastAsia="Arial" w:hAnsi="Arial" w:cs="Arial"/>
        </w:rPr>
        <w:t>mješanog</w:t>
      </w:r>
      <w:proofErr w:type="spellEnd"/>
      <w:r>
        <w:rPr>
          <w:rFonts w:ascii="Arial" w:eastAsia="Arial" w:hAnsi="Arial" w:cs="Arial"/>
        </w:rPr>
        <w:t xml:space="preserve"> komunalnog otpada kao i eventualno drugih vrsta otpada osim građevinskog, obavljat će tvrtka „GRADSKA ČISTOĆA DRNIŠ“ d.o.o., Drniš.      </w:t>
      </w:r>
    </w:p>
    <w:p w:rsidR="00F66CB8" w:rsidRDefault="00F66CB8" w:rsidP="00F66CB8">
      <w:pPr>
        <w:pStyle w:val="Bezproreda"/>
        <w:ind w:firstLine="7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</w:t>
      </w:r>
    </w:p>
    <w:p w:rsidR="00F66CB8" w:rsidRDefault="00F66CB8" w:rsidP="00F66CB8">
      <w:pPr>
        <w:pStyle w:val="Bezproreda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Članak 6.</w:t>
      </w:r>
    </w:p>
    <w:p w:rsidR="00F66CB8" w:rsidRDefault="00F66CB8" w:rsidP="00F66CB8">
      <w:pPr>
        <w:pStyle w:val="Bezproreda"/>
        <w:ind w:firstLine="7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Ovlašćuje se gradonačelnik Grada Drniša za provođenje svih potrebnih radnji kao i  donošenje potrebnih akata potrebnih za zatvaranje i  sanaciju odlagališta „MOSEĆ“ sukladno zakonu i ovoj Odluci.</w:t>
      </w:r>
    </w:p>
    <w:p w:rsidR="00F66CB8" w:rsidRDefault="00F66CB8" w:rsidP="00F66CB8">
      <w:pPr>
        <w:pStyle w:val="Bezproreda"/>
        <w:jc w:val="both"/>
        <w:rPr>
          <w:rFonts w:ascii="Arial" w:eastAsia="Calibri" w:hAnsi="Arial" w:cs="Arial"/>
        </w:rPr>
      </w:pPr>
    </w:p>
    <w:p w:rsidR="00B06700" w:rsidRDefault="00B06700" w:rsidP="00F66CB8">
      <w:pPr>
        <w:pStyle w:val="Bezproreda"/>
        <w:jc w:val="both"/>
        <w:rPr>
          <w:rFonts w:ascii="Arial" w:eastAsia="Calibri" w:hAnsi="Arial" w:cs="Arial"/>
        </w:rPr>
      </w:pPr>
    </w:p>
    <w:p w:rsidR="00F66CB8" w:rsidRDefault="00F66CB8" w:rsidP="00F66CB8">
      <w:pPr>
        <w:pStyle w:val="Bezproreda"/>
        <w:jc w:val="both"/>
        <w:rPr>
          <w:rFonts w:ascii="Arial" w:eastAsia="Calibri" w:hAnsi="Arial" w:cs="Arial"/>
        </w:rPr>
      </w:pPr>
    </w:p>
    <w:p w:rsidR="00F66CB8" w:rsidRDefault="00F66CB8" w:rsidP="00F66CB8">
      <w:pPr>
        <w:pStyle w:val="Bezproreda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Članak 7.</w:t>
      </w:r>
    </w:p>
    <w:p w:rsidR="00F66CB8" w:rsidRDefault="00F66CB8" w:rsidP="00F66CB8">
      <w:pPr>
        <w:pStyle w:val="Bezproreda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Ova Odluka stupa na sn</w:t>
      </w:r>
      <w:r w:rsidR="009A71D4">
        <w:rPr>
          <w:rFonts w:ascii="Arial" w:eastAsia="Arial" w:hAnsi="Arial" w:cs="Arial"/>
        </w:rPr>
        <w:t>agu prvog dana od dana objave</w:t>
      </w:r>
      <w:r>
        <w:rPr>
          <w:rFonts w:ascii="Arial" w:eastAsia="Arial" w:hAnsi="Arial" w:cs="Arial"/>
        </w:rPr>
        <w:t>, a objavit će se u „Službenom glasniku Grada Drniša“.</w:t>
      </w:r>
    </w:p>
    <w:p w:rsidR="00F66CB8" w:rsidRDefault="00F66CB8" w:rsidP="00F66CB8">
      <w:pPr>
        <w:pStyle w:val="Bezproreda"/>
        <w:jc w:val="both"/>
        <w:rPr>
          <w:rFonts w:ascii="Arial" w:eastAsia="Calibri" w:hAnsi="Arial" w:cs="Arial"/>
        </w:rPr>
      </w:pPr>
    </w:p>
    <w:p w:rsidR="00F66CB8" w:rsidRDefault="00F66CB8" w:rsidP="00F66CB8">
      <w:pPr>
        <w:pStyle w:val="Bezproreda"/>
        <w:jc w:val="both"/>
        <w:rPr>
          <w:rFonts w:ascii="Arial" w:eastAsia="Calibri" w:hAnsi="Arial" w:cs="Arial"/>
        </w:rPr>
      </w:pPr>
    </w:p>
    <w:p w:rsidR="00F66CB8" w:rsidRDefault="00F66CB8" w:rsidP="00F66CB8">
      <w:pPr>
        <w:pStyle w:val="Bezproreda"/>
        <w:jc w:val="both"/>
        <w:rPr>
          <w:rFonts w:ascii="Arial" w:eastAsia="Calibri" w:hAnsi="Arial" w:cs="Arial"/>
        </w:rPr>
      </w:pPr>
    </w:p>
    <w:p w:rsidR="00F66CB8" w:rsidRDefault="00F66CB8" w:rsidP="00F66CB8">
      <w:pPr>
        <w:pStyle w:val="Bezproreda"/>
        <w:jc w:val="both"/>
        <w:rPr>
          <w:rFonts w:ascii="Arial" w:eastAsia="Calibri" w:hAnsi="Arial" w:cs="Arial"/>
        </w:rPr>
      </w:pPr>
    </w:p>
    <w:p w:rsidR="00F66CB8" w:rsidRDefault="00F66CB8" w:rsidP="00F66CB8">
      <w:pPr>
        <w:pStyle w:val="Bezproreda"/>
        <w:jc w:val="both"/>
        <w:rPr>
          <w:rFonts w:ascii="Arial" w:eastAsia="Calibri" w:hAnsi="Arial" w:cs="Arial"/>
        </w:rPr>
      </w:pPr>
    </w:p>
    <w:p w:rsidR="00F66CB8" w:rsidRDefault="00F66CB8" w:rsidP="00F66CB8">
      <w:pPr>
        <w:pStyle w:val="Bezproreda"/>
        <w:jc w:val="both"/>
        <w:rPr>
          <w:rFonts w:ascii="Arial" w:eastAsia="Calibri" w:hAnsi="Arial" w:cs="Arial"/>
        </w:rPr>
      </w:pPr>
    </w:p>
    <w:p w:rsidR="00F66CB8" w:rsidRDefault="00CD26AA" w:rsidP="00F66CB8">
      <w:pPr>
        <w:pStyle w:val="Bezproreda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KLASA: 363-01/19-016</w:t>
      </w:r>
    </w:p>
    <w:p w:rsidR="00F66CB8" w:rsidRDefault="00F66CB8" w:rsidP="00F66CB8">
      <w:pPr>
        <w:pStyle w:val="Bezproreda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URBROJ: 2182/06-01/19-10/</w:t>
      </w:r>
      <w:r w:rsidR="00CD26AA">
        <w:rPr>
          <w:rFonts w:ascii="Arial" w:eastAsia="Arial" w:hAnsi="Arial" w:cs="Arial"/>
        </w:rPr>
        <w:t>1</w:t>
      </w:r>
    </w:p>
    <w:p w:rsidR="00F66CB8" w:rsidRDefault="00F66CB8" w:rsidP="00F66CB8">
      <w:pPr>
        <w:pStyle w:val="Bezproreda"/>
        <w:jc w:val="both"/>
        <w:rPr>
          <w:rFonts w:ascii="Arial" w:eastAsia="Arial" w:hAnsi="Arial" w:cs="Arial"/>
        </w:rPr>
      </w:pPr>
    </w:p>
    <w:p w:rsidR="00F66CB8" w:rsidRDefault="00CD26AA" w:rsidP="00F66CB8">
      <w:pPr>
        <w:pStyle w:val="Bezproreda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Drniš, 26.</w:t>
      </w:r>
      <w:r w:rsidR="00F66CB8">
        <w:rPr>
          <w:rFonts w:ascii="Arial" w:eastAsia="Arial" w:hAnsi="Arial" w:cs="Arial"/>
        </w:rPr>
        <w:t xml:space="preserve"> 03.2019.</w:t>
      </w:r>
    </w:p>
    <w:p w:rsidR="00F66CB8" w:rsidRDefault="00F66CB8" w:rsidP="00F66CB8">
      <w:pPr>
        <w:pStyle w:val="Bezproreda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  </w:t>
      </w:r>
    </w:p>
    <w:p w:rsidR="00F66CB8" w:rsidRDefault="00F66CB8" w:rsidP="00F66CB8">
      <w:pPr>
        <w:pStyle w:val="Bezproreda"/>
        <w:jc w:val="both"/>
        <w:rPr>
          <w:rFonts w:ascii="Arial" w:eastAsia="Arial" w:hAnsi="Arial" w:cs="Arial"/>
        </w:rPr>
      </w:pPr>
    </w:p>
    <w:p w:rsidR="00F66CB8" w:rsidRDefault="00F66CB8" w:rsidP="00F66CB8">
      <w:pPr>
        <w:pStyle w:val="Bezproreda"/>
        <w:jc w:val="both"/>
        <w:rPr>
          <w:rFonts w:ascii="Arial" w:eastAsia="Calibri" w:hAnsi="Arial" w:cs="Arial"/>
        </w:rPr>
      </w:pPr>
    </w:p>
    <w:p w:rsidR="00F66CB8" w:rsidRDefault="00F66CB8" w:rsidP="00F66CB8">
      <w:pPr>
        <w:pStyle w:val="Bezproreda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GRAD DRNIŠ</w:t>
      </w:r>
    </w:p>
    <w:p w:rsidR="00F66CB8" w:rsidRDefault="00F66CB8" w:rsidP="00F66CB8">
      <w:pPr>
        <w:pStyle w:val="Bezproreda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GRADSKO VIJEĆE</w:t>
      </w:r>
    </w:p>
    <w:p w:rsidR="00F66CB8" w:rsidRDefault="00F66CB8" w:rsidP="00F66CB8">
      <w:pPr>
        <w:pStyle w:val="Bezproreda"/>
        <w:jc w:val="center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center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center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                                                                PREDSJEDNIK:</w:t>
      </w: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                                               </w:t>
      </w: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                                                                     Ante </w:t>
      </w:r>
      <w:proofErr w:type="spellStart"/>
      <w:r>
        <w:rPr>
          <w:rFonts w:ascii="Arial" w:eastAsia="Arial" w:hAnsi="Arial" w:cs="Arial"/>
        </w:rPr>
        <w:t>Pleadin</w:t>
      </w:r>
      <w:proofErr w:type="spellEnd"/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</w:rPr>
      </w:pP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right"/>
        <w:rPr>
          <w:rFonts w:ascii="Arial" w:eastAsia="Arial" w:hAnsi="Arial" w:cs="Arial"/>
          <w:b/>
        </w:rPr>
      </w:pPr>
    </w:p>
    <w:p w:rsidR="00F66CB8" w:rsidRDefault="00F66CB8" w:rsidP="00F66CB8">
      <w:pPr>
        <w:pStyle w:val="Bezproreda"/>
        <w:jc w:val="center"/>
        <w:rPr>
          <w:rFonts w:ascii="Arial" w:eastAsia="Arial" w:hAnsi="Arial" w:cs="Arial"/>
          <w:b/>
        </w:rPr>
      </w:pPr>
    </w:p>
    <w:p w:rsidR="00F66CB8" w:rsidRDefault="00F66CB8" w:rsidP="00A30AD7">
      <w:pPr>
        <w:pStyle w:val="Bezproreda"/>
        <w:jc w:val="right"/>
        <w:rPr>
          <w:rFonts w:ascii="Arial" w:eastAsia="Arial" w:hAnsi="Arial" w:cs="Arial"/>
          <w:b/>
        </w:rPr>
      </w:pPr>
    </w:p>
    <w:p w:rsidR="00A67658" w:rsidRDefault="00A67658" w:rsidP="00A30AD7">
      <w:pPr>
        <w:pStyle w:val="Bezproreda"/>
        <w:jc w:val="center"/>
        <w:rPr>
          <w:rFonts w:ascii="Arial" w:eastAsia="Arial" w:hAnsi="Arial" w:cs="Arial"/>
          <w:b/>
        </w:rPr>
      </w:pPr>
      <w:bookmarkStart w:id="0" w:name="_GoBack"/>
      <w:bookmarkEnd w:id="0"/>
    </w:p>
    <w:sectPr w:rsidR="00A676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789"/>
    <w:rsid w:val="000301F8"/>
    <w:rsid w:val="00083366"/>
    <w:rsid w:val="000F2C34"/>
    <w:rsid w:val="00163789"/>
    <w:rsid w:val="00182A42"/>
    <w:rsid w:val="004E33DE"/>
    <w:rsid w:val="00585818"/>
    <w:rsid w:val="005F71F0"/>
    <w:rsid w:val="008D2E7D"/>
    <w:rsid w:val="008D4E8C"/>
    <w:rsid w:val="008E3BD2"/>
    <w:rsid w:val="009A71D4"/>
    <w:rsid w:val="00A30AD7"/>
    <w:rsid w:val="00A67658"/>
    <w:rsid w:val="00B06700"/>
    <w:rsid w:val="00C63E35"/>
    <w:rsid w:val="00CD26AA"/>
    <w:rsid w:val="00EC348F"/>
    <w:rsid w:val="00F6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27DD79-61E4-4541-B878-10377A946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82A42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06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067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20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513</Words>
  <Characters>2925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Lovrić</dc:creator>
  <cp:lastModifiedBy>Marija Lovrić</cp:lastModifiedBy>
  <cp:revision>13</cp:revision>
  <cp:lastPrinted>2019-03-26T11:48:00Z</cp:lastPrinted>
  <dcterms:created xsi:type="dcterms:W3CDTF">2019-03-11T06:15:00Z</dcterms:created>
  <dcterms:modified xsi:type="dcterms:W3CDTF">2019-03-28T08:05:00Z</dcterms:modified>
</cp:coreProperties>
</file>