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50D" w:rsidRDefault="00DB350D" w:rsidP="00DB350D">
      <w:pPr>
        <w:widowControl w:val="0"/>
        <w:autoSpaceDE w:val="0"/>
        <w:autoSpaceDN w:val="0"/>
        <w:adjustRightInd w:val="0"/>
        <w:spacing w:before="88"/>
        <w:ind w:left="117" w:right="77" w:firstLine="72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221F1F"/>
        </w:rPr>
        <w:t xml:space="preserve">Na </w:t>
      </w:r>
      <w:r>
        <w:rPr>
          <w:rFonts w:ascii="Arial" w:hAnsi="Arial" w:cs="Arial"/>
          <w:color w:val="221F1F"/>
          <w:spacing w:val="17"/>
        </w:rPr>
        <w:t xml:space="preserve"> </w:t>
      </w:r>
      <w:r>
        <w:rPr>
          <w:rFonts w:ascii="Arial" w:hAnsi="Arial" w:cs="Arial"/>
          <w:color w:val="221F1F"/>
        </w:rPr>
        <w:t xml:space="preserve">temelju </w:t>
      </w:r>
      <w:r>
        <w:rPr>
          <w:rFonts w:ascii="Arial" w:hAnsi="Arial" w:cs="Arial"/>
          <w:color w:val="221F1F"/>
          <w:spacing w:val="13"/>
        </w:rPr>
        <w:t xml:space="preserve"> </w:t>
      </w:r>
      <w:r>
        <w:rPr>
          <w:rFonts w:ascii="Arial" w:hAnsi="Arial" w:cs="Arial"/>
          <w:color w:val="221F1F"/>
          <w:spacing w:val="1"/>
        </w:rPr>
        <w:t>č</w:t>
      </w:r>
      <w:r>
        <w:rPr>
          <w:rFonts w:ascii="Arial" w:hAnsi="Arial" w:cs="Arial"/>
          <w:color w:val="221F1F"/>
        </w:rPr>
        <w:t>l. 20.</w:t>
      </w:r>
      <w:r>
        <w:rPr>
          <w:rFonts w:ascii="Arial" w:hAnsi="Arial" w:cs="Arial"/>
          <w:color w:val="221F1F"/>
          <w:spacing w:val="17"/>
        </w:rPr>
        <w:t xml:space="preserve"> </w:t>
      </w:r>
      <w:r>
        <w:rPr>
          <w:rFonts w:ascii="Arial" w:hAnsi="Arial" w:cs="Arial"/>
          <w:color w:val="221F1F"/>
        </w:rPr>
        <w:t>st. 2.</w:t>
      </w:r>
      <w:r>
        <w:rPr>
          <w:rFonts w:ascii="Arial" w:hAnsi="Arial" w:cs="Arial"/>
          <w:color w:val="221F1F"/>
          <w:spacing w:val="17"/>
        </w:rPr>
        <w:t xml:space="preserve"> </w:t>
      </w:r>
      <w:r>
        <w:rPr>
          <w:rFonts w:ascii="Arial" w:hAnsi="Arial" w:cs="Arial"/>
          <w:color w:val="221F1F"/>
        </w:rPr>
        <w:t xml:space="preserve">Zakona </w:t>
      </w:r>
      <w:r>
        <w:rPr>
          <w:rFonts w:ascii="Arial" w:hAnsi="Arial" w:cs="Arial"/>
          <w:color w:val="221F1F"/>
          <w:spacing w:val="12"/>
        </w:rPr>
        <w:t xml:space="preserve"> </w:t>
      </w:r>
      <w:r>
        <w:rPr>
          <w:rFonts w:ascii="Arial" w:hAnsi="Arial" w:cs="Arial"/>
          <w:color w:val="221F1F"/>
        </w:rPr>
        <w:t xml:space="preserve">o </w:t>
      </w:r>
      <w:r>
        <w:rPr>
          <w:rFonts w:ascii="Arial" w:hAnsi="Arial" w:cs="Arial"/>
          <w:color w:val="221F1F"/>
          <w:spacing w:val="18"/>
        </w:rPr>
        <w:t xml:space="preserve"> </w:t>
      </w:r>
      <w:r>
        <w:rPr>
          <w:rFonts w:ascii="Arial" w:hAnsi="Arial" w:cs="Arial"/>
          <w:color w:val="221F1F"/>
        </w:rPr>
        <w:t xml:space="preserve">predškolskom </w:t>
      </w:r>
      <w:r>
        <w:rPr>
          <w:rFonts w:ascii="Arial" w:hAnsi="Arial" w:cs="Arial"/>
          <w:color w:val="221F1F"/>
          <w:spacing w:val="6"/>
        </w:rPr>
        <w:t xml:space="preserve"> </w:t>
      </w:r>
      <w:r>
        <w:rPr>
          <w:rFonts w:ascii="Arial" w:hAnsi="Arial" w:cs="Arial"/>
          <w:color w:val="221F1F"/>
        </w:rPr>
        <w:t xml:space="preserve">odgoju </w:t>
      </w:r>
      <w:r>
        <w:rPr>
          <w:rFonts w:ascii="Arial" w:hAnsi="Arial" w:cs="Arial"/>
          <w:color w:val="221F1F"/>
          <w:spacing w:val="13"/>
        </w:rPr>
        <w:t xml:space="preserve"> </w:t>
      </w:r>
      <w:r>
        <w:rPr>
          <w:rFonts w:ascii="Arial" w:hAnsi="Arial" w:cs="Arial"/>
          <w:color w:val="221F1F"/>
        </w:rPr>
        <w:t xml:space="preserve">i </w:t>
      </w:r>
      <w:r>
        <w:rPr>
          <w:rFonts w:ascii="Arial" w:hAnsi="Arial" w:cs="Arial"/>
          <w:color w:val="221F1F"/>
          <w:spacing w:val="19"/>
        </w:rPr>
        <w:t xml:space="preserve"> </w:t>
      </w:r>
      <w:r>
        <w:rPr>
          <w:rFonts w:ascii="Arial" w:hAnsi="Arial" w:cs="Arial"/>
          <w:color w:val="221F1F"/>
        </w:rPr>
        <w:t>obrazovanju ("Narodne</w:t>
      </w:r>
      <w:r>
        <w:rPr>
          <w:rFonts w:ascii="Arial" w:hAnsi="Arial" w:cs="Arial"/>
          <w:color w:val="221F1F"/>
          <w:spacing w:val="7"/>
        </w:rPr>
        <w:t xml:space="preserve"> </w:t>
      </w:r>
      <w:r>
        <w:rPr>
          <w:rFonts w:ascii="Arial" w:hAnsi="Arial" w:cs="Arial"/>
          <w:color w:val="221F1F"/>
        </w:rPr>
        <w:t>novine" broj</w:t>
      </w:r>
      <w:r>
        <w:rPr>
          <w:rFonts w:ascii="Arial" w:hAnsi="Arial" w:cs="Arial"/>
          <w:color w:val="221F1F"/>
          <w:spacing w:val="10"/>
        </w:rPr>
        <w:t xml:space="preserve"> </w:t>
      </w:r>
      <w:r>
        <w:rPr>
          <w:rFonts w:ascii="Arial" w:hAnsi="Arial" w:cs="Arial"/>
        </w:rPr>
        <w:t>10/97, 107/07 i 94/13)</w:t>
      </w:r>
      <w:r>
        <w:rPr>
          <w:rFonts w:ascii="Arial" w:hAnsi="Arial" w:cs="Arial"/>
          <w:color w:val="221F1F"/>
          <w:spacing w:val="10"/>
        </w:rPr>
        <w:t>, te članka 51. Statuta Grada Drniša ( „Službeni vjesnik Šibensko – kninske županije“ br. 15/09, 4/13, 11/13,14/13 , „Službeni glasnik Grada Drniša“ broj 04/15, 1/18 i 1/19-pročišćeni tekst), Gradsko v</w:t>
      </w:r>
      <w:r w:rsidR="00300801">
        <w:rPr>
          <w:rFonts w:ascii="Arial" w:hAnsi="Arial" w:cs="Arial"/>
          <w:color w:val="221F1F"/>
          <w:spacing w:val="10"/>
        </w:rPr>
        <w:t xml:space="preserve">ijeće Grada Drniša, na svojoj 14. sjednici održanoj dana 26. </w:t>
      </w:r>
      <w:r>
        <w:rPr>
          <w:rFonts w:ascii="Arial" w:hAnsi="Arial" w:cs="Arial"/>
          <w:color w:val="221F1F"/>
          <w:spacing w:val="10"/>
        </w:rPr>
        <w:t>ožujka 2019. godine, donijelo je</w:t>
      </w:r>
    </w:p>
    <w:p w:rsidR="00DB350D" w:rsidRDefault="00DB350D" w:rsidP="00DB350D">
      <w:pPr>
        <w:widowControl w:val="0"/>
        <w:autoSpaceDE w:val="0"/>
        <w:autoSpaceDN w:val="0"/>
        <w:adjustRightInd w:val="0"/>
        <w:spacing w:before="15"/>
        <w:rPr>
          <w:rFonts w:ascii="Arial" w:hAnsi="Arial" w:cs="Arial"/>
          <w:color w:val="000000"/>
        </w:rPr>
      </w:pPr>
    </w:p>
    <w:p w:rsidR="00DB350D" w:rsidRDefault="00DB350D" w:rsidP="00DB350D">
      <w:pPr>
        <w:widowControl w:val="0"/>
        <w:tabs>
          <w:tab w:val="left" w:pos="4560"/>
        </w:tabs>
        <w:autoSpaceDE w:val="0"/>
        <w:autoSpaceDN w:val="0"/>
        <w:adjustRightInd w:val="0"/>
        <w:spacing w:before="15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                              </w:t>
      </w:r>
    </w:p>
    <w:p w:rsidR="00DB350D" w:rsidRDefault="00DB350D" w:rsidP="00DB350D">
      <w:pPr>
        <w:widowControl w:val="0"/>
        <w:tabs>
          <w:tab w:val="left" w:pos="4320"/>
        </w:tabs>
        <w:autoSpaceDE w:val="0"/>
        <w:autoSpaceDN w:val="0"/>
        <w:adjustRightInd w:val="0"/>
        <w:spacing w:before="15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t xml:space="preserve">                                     </w:t>
      </w:r>
      <w:r>
        <w:rPr>
          <w:rFonts w:ascii="Arial" w:hAnsi="Arial" w:cs="Arial"/>
          <w:b/>
          <w:color w:val="000000"/>
        </w:rPr>
        <w:t xml:space="preserve">                        ODLUKU</w:t>
      </w:r>
    </w:p>
    <w:p w:rsidR="00DB350D" w:rsidRDefault="00DB350D" w:rsidP="00DB350D">
      <w:pPr>
        <w:widowControl w:val="0"/>
        <w:autoSpaceDE w:val="0"/>
        <w:autoSpaceDN w:val="0"/>
        <w:adjustRightInd w:val="0"/>
        <w:ind w:left="1007" w:right="1005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221F1F"/>
        </w:rPr>
        <w:t>o načinu</w:t>
      </w:r>
      <w:r>
        <w:rPr>
          <w:rFonts w:ascii="Arial" w:hAnsi="Arial" w:cs="Arial"/>
          <w:b/>
          <w:bCs/>
          <w:color w:val="221F1F"/>
          <w:spacing w:val="-16"/>
        </w:rPr>
        <w:t xml:space="preserve"> </w:t>
      </w:r>
      <w:r>
        <w:rPr>
          <w:rFonts w:ascii="Arial" w:hAnsi="Arial" w:cs="Arial"/>
          <w:b/>
          <w:bCs/>
          <w:color w:val="221F1F"/>
        </w:rPr>
        <w:t>ostvarivanja</w:t>
      </w:r>
      <w:r>
        <w:rPr>
          <w:rFonts w:ascii="Arial" w:hAnsi="Arial" w:cs="Arial"/>
          <w:b/>
          <w:bCs/>
          <w:color w:val="221F1F"/>
          <w:spacing w:val="-13"/>
        </w:rPr>
        <w:t xml:space="preserve"> </w:t>
      </w:r>
      <w:r>
        <w:rPr>
          <w:rFonts w:ascii="Arial" w:hAnsi="Arial" w:cs="Arial"/>
          <w:b/>
          <w:bCs/>
          <w:color w:val="221F1F"/>
        </w:rPr>
        <w:t>prednosti</w:t>
      </w:r>
      <w:r>
        <w:rPr>
          <w:rFonts w:ascii="Arial" w:hAnsi="Arial" w:cs="Arial"/>
          <w:b/>
          <w:bCs/>
          <w:color w:val="221F1F"/>
          <w:spacing w:val="-10"/>
        </w:rPr>
        <w:t xml:space="preserve"> </w:t>
      </w:r>
      <w:r>
        <w:rPr>
          <w:rFonts w:ascii="Arial" w:hAnsi="Arial" w:cs="Arial"/>
          <w:b/>
          <w:bCs/>
          <w:color w:val="221F1F"/>
        </w:rPr>
        <w:t>pri</w:t>
      </w:r>
      <w:r>
        <w:rPr>
          <w:rFonts w:ascii="Arial" w:hAnsi="Arial" w:cs="Arial"/>
          <w:b/>
          <w:bCs/>
          <w:color w:val="221F1F"/>
          <w:spacing w:val="-3"/>
        </w:rPr>
        <w:t xml:space="preserve"> </w:t>
      </w:r>
      <w:r>
        <w:rPr>
          <w:rFonts w:ascii="Arial" w:hAnsi="Arial" w:cs="Arial"/>
          <w:b/>
          <w:bCs/>
          <w:color w:val="221F1F"/>
        </w:rPr>
        <w:t>upisu</w:t>
      </w:r>
      <w:r>
        <w:rPr>
          <w:rFonts w:ascii="Arial" w:hAnsi="Arial" w:cs="Arial"/>
          <w:b/>
          <w:bCs/>
          <w:color w:val="221F1F"/>
          <w:spacing w:val="-6"/>
        </w:rPr>
        <w:t xml:space="preserve"> </w:t>
      </w:r>
      <w:r>
        <w:rPr>
          <w:rFonts w:ascii="Arial" w:hAnsi="Arial" w:cs="Arial"/>
          <w:b/>
          <w:bCs/>
          <w:color w:val="221F1F"/>
        </w:rPr>
        <w:t>djece</w:t>
      </w:r>
      <w:r>
        <w:rPr>
          <w:rFonts w:ascii="Arial" w:hAnsi="Arial" w:cs="Arial"/>
          <w:b/>
          <w:bCs/>
          <w:color w:val="221F1F"/>
          <w:spacing w:val="-6"/>
        </w:rPr>
        <w:t xml:space="preserve"> </w:t>
      </w:r>
      <w:r>
        <w:rPr>
          <w:rFonts w:ascii="Arial" w:hAnsi="Arial" w:cs="Arial"/>
          <w:b/>
          <w:bCs/>
          <w:color w:val="221F1F"/>
        </w:rPr>
        <w:t>u</w:t>
      </w:r>
      <w:r>
        <w:rPr>
          <w:rFonts w:ascii="Arial" w:hAnsi="Arial" w:cs="Arial"/>
          <w:b/>
          <w:bCs/>
          <w:color w:val="221F1F"/>
          <w:spacing w:val="-1"/>
        </w:rPr>
        <w:t xml:space="preserve"> </w:t>
      </w:r>
      <w:r>
        <w:rPr>
          <w:rFonts w:ascii="Arial" w:hAnsi="Arial" w:cs="Arial"/>
          <w:b/>
          <w:bCs/>
          <w:color w:val="221F1F"/>
        </w:rPr>
        <w:t>Dj</w:t>
      </w:r>
      <w:r>
        <w:rPr>
          <w:rFonts w:ascii="Arial" w:hAnsi="Arial" w:cs="Arial"/>
          <w:b/>
          <w:bCs/>
          <w:color w:val="221F1F"/>
          <w:spacing w:val="-1"/>
        </w:rPr>
        <w:t>e</w:t>
      </w:r>
      <w:r>
        <w:rPr>
          <w:rFonts w:ascii="Arial" w:hAnsi="Arial" w:cs="Arial"/>
          <w:b/>
          <w:bCs/>
          <w:color w:val="221F1F"/>
        </w:rPr>
        <w:t>čji</w:t>
      </w:r>
      <w:r>
        <w:rPr>
          <w:rFonts w:ascii="Arial" w:hAnsi="Arial" w:cs="Arial"/>
          <w:b/>
          <w:bCs/>
          <w:color w:val="221F1F"/>
          <w:spacing w:val="-17"/>
        </w:rPr>
        <w:t xml:space="preserve"> </w:t>
      </w:r>
      <w:r>
        <w:rPr>
          <w:rFonts w:ascii="Arial" w:hAnsi="Arial" w:cs="Arial"/>
          <w:b/>
          <w:bCs/>
          <w:color w:val="221F1F"/>
        </w:rPr>
        <w:t>vrtić</w:t>
      </w:r>
      <w:r>
        <w:rPr>
          <w:rFonts w:ascii="Arial" w:hAnsi="Arial" w:cs="Arial"/>
          <w:b/>
          <w:bCs/>
          <w:color w:val="221F1F"/>
          <w:spacing w:val="-17"/>
        </w:rPr>
        <w:t xml:space="preserve"> </w:t>
      </w:r>
      <w:r>
        <w:rPr>
          <w:rFonts w:ascii="Arial" w:hAnsi="Arial" w:cs="Arial"/>
          <w:b/>
          <w:bCs/>
          <w:color w:val="221F1F"/>
          <w:w w:val="99"/>
        </w:rPr>
        <w:t>Drniš</w:t>
      </w:r>
    </w:p>
    <w:p w:rsidR="00DB350D" w:rsidRDefault="00DB350D" w:rsidP="00DB350D">
      <w:pPr>
        <w:widowControl w:val="0"/>
        <w:autoSpaceDE w:val="0"/>
        <w:autoSpaceDN w:val="0"/>
        <w:adjustRightInd w:val="0"/>
        <w:spacing w:before="12"/>
        <w:rPr>
          <w:rFonts w:ascii="Arial" w:hAnsi="Arial" w:cs="Arial"/>
          <w:color w:val="000000"/>
        </w:rPr>
      </w:pPr>
    </w:p>
    <w:p w:rsidR="00DB350D" w:rsidRDefault="00DB350D" w:rsidP="00DB350D">
      <w:pPr>
        <w:widowControl w:val="0"/>
        <w:autoSpaceDE w:val="0"/>
        <w:autoSpaceDN w:val="0"/>
        <w:adjustRightInd w:val="0"/>
        <w:ind w:left="4134" w:right="4131"/>
        <w:jc w:val="center"/>
        <w:rPr>
          <w:rFonts w:ascii="Arial" w:hAnsi="Arial" w:cs="Arial"/>
          <w:b/>
          <w:bCs/>
          <w:color w:val="221F1F"/>
          <w:w w:val="104"/>
          <w:sz w:val="22"/>
          <w:szCs w:val="22"/>
        </w:rPr>
      </w:pPr>
    </w:p>
    <w:p w:rsidR="00DB350D" w:rsidRDefault="00DB350D" w:rsidP="00DB350D">
      <w:pPr>
        <w:widowControl w:val="0"/>
        <w:autoSpaceDE w:val="0"/>
        <w:autoSpaceDN w:val="0"/>
        <w:adjustRightInd w:val="0"/>
        <w:ind w:right="4131"/>
        <w:rPr>
          <w:rFonts w:ascii="Arial" w:hAnsi="Arial" w:cs="Arial"/>
          <w:bCs/>
          <w:color w:val="221F1F"/>
          <w:w w:val="104"/>
        </w:rPr>
      </w:pPr>
      <w:r>
        <w:rPr>
          <w:rFonts w:ascii="Arial" w:hAnsi="Arial" w:cs="Arial"/>
          <w:bCs/>
          <w:color w:val="221F1F"/>
          <w:w w:val="104"/>
        </w:rPr>
        <w:t xml:space="preserve">                                                        Članak 1.</w:t>
      </w:r>
    </w:p>
    <w:p w:rsidR="00DB350D" w:rsidRDefault="00DB350D" w:rsidP="00DB350D">
      <w:pPr>
        <w:widowControl w:val="0"/>
        <w:autoSpaceDE w:val="0"/>
        <w:autoSpaceDN w:val="0"/>
        <w:adjustRightInd w:val="0"/>
        <w:ind w:right="4131"/>
        <w:rPr>
          <w:rFonts w:ascii="Arial" w:hAnsi="Arial" w:cs="Arial"/>
          <w:color w:val="000000"/>
        </w:rPr>
      </w:pPr>
    </w:p>
    <w:p w:rsidR="00DB350D" w:rsidRDefault="00DB350D" w:rsidP="00DB350D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221F1F"/>
        </w:rPr>
        <w:t>Odlukom</w:t>
      </w:r>
      <w:r>
        <w:rPr>
          <w:rFonts w:ascii="Arial" w:hAnsi="Arial" w:cs="Arial"/>
          <w:color w:val="221F1F"/>
          <w:spacing w:val="7"/>
        </w:rPr>
        <w:t xml:space="preserve"> o načinu </w:t>
      </w:r>
      <w:r>
        <w:rPr>
          <w:rFonts w:ascii="Arial" w:hAnsi="Arial" w:cs="Arial"/>
          <w:color w:val="221F1F"/>
        </w:rPr>
        <w:t>ostvarivanja</w:t>
      </w:r>
      <w:r>
        <w:rPr>
          <w:rFonts w:ascii="Arial" w:hAnsi="Arial" w:cs="Arial"/>
          <w:color w:val="221F1F"/>
          <w:spacing w:val="4"/>
        </w:rPr>
        <w:t xml:space="preserve"> </w:t>
      </w:r>
      <w:r>
        <w:rPr>
          <w:rFonts w:ascii="Arial" w:hAnsi="Arial" w:cs="Arial"/>
          <w:color w:val="221F1F"/>
        </w:rPr>
        <w:t>prednosti</w:t>
      </w:r>
      <w:r>
        <w:rPr>
          <w:rFonts w:ascii="Arial" w:hAnsi="Arial" w:cs="Arial"/>
          <w:color w:val="221F1F"/>
          <w:spacing w:val="7"/>
        </w:rPr>
        <w:t xml:space="preserve"> </w:t>
      </w:r>
      <w:r>
        <w:rPr>
          <w:rFonts w:ascii="Arial" w:hAnsi="Arial" w:cs="Arial"/>
          <w:color w:val="221F1F"/>
        </w:rPr>
        <w:t>pri</w:t>
      </w:r>
      <w:r>
        <w:rPr>
          <w:rFonts w:ascii="Arial" w:hAnsi="Arial" w:cs="Arial"/>
          <w:color w:val="221F1F"/>
          <w:spacing w:val="14"/>
        </w:rPr>
        <w:t xml:space="preserve"> </w:t>
      </w:r>
      <w:r>
        <w:rPr>
          <w:rFonts w:ascii="Arial" w:hAnsi="Arial" w:cs="Arial"/>
          <w:color w:val="221F1F"/>
        </w:rPr>
        <w:t>upisu</w:t>
      </w:r>
      <w:r>
        <w:rPr>
          <w:rFonts w:ascii="Arial" w:hAnsi="Arial" w:cs="Arial"/>
          <w:color w:val="221F1F"/>
          <w:spacing w:val="11"/>
        </w:rPr>
        <w:t xml:space="preserve"> </w:t>
      </w:r>
      <w:r>
        <w:rPr>
          <w:rFonts w:ascii="Arial" w:hAnsi="Arial" w:cs="Arial"/>
          <w:color w:val="221F1F"/>
        </w:rPr>
        <w:t>djece</w:t>
      </w:r>
      <w:r>
        <w:rPr>
          <w:rFonts w:ascii="Arial" w:hAnsi="Arial" w:cs="Arial"/>
          <w:color w:val="221F1F"/>
          <w:spacing w:val="11"/>
        </w:rPr>
        <w:t xml:space="preserve"> </w:t>
      </w:r>
      <w:r>
        <w:rPr>
          <w:rFonts w:ascii="Arial" w:hAnsi="Arial" w:cs="Arial"/>
          <w:color w:val="221F1F"/>
        </w:rPr>
        <w:t>u</w:t>
      </w:r>
      <w:r>
        <w:rPr>
          <w:rFonts w:ascii="Arial" w:hAnsi="Arial" w:cs="Arial"/>
          <w:color w:val="221F1F"/>
          <w:spacing w:val="15"/>
        </w:rPr>
        <w:t xml:space="preserve"> </w:t>
      </w:r>
      <w:r>
        <w:rPr>
          <w:rFonts w:ascii="Arial" w:hAnsi="Arial" w:cs="Arial"/>
          <w:color w:val="221F1F"/>
        </w:rPr>
        <w:t>Dj</w:t>
      </w:r>
      <w:r>
        <w:rPr>
          <w:rFonts w:ascii="Arial" w:hAnsi="Arial" w:cs="Arial"/>
          <w:color w:val="221F1F"/>
          <w:spacing w:val="3"/>
        </w:rPr>
        <w:t>e</w:t>
      </w:r>
      <w:r>
        <w:rPr>
          <w:rFonts w:ascii="Arial" w:hAnsi="Arial" w:cs="Arial"/>
          <w:color w:val="221F1F"/>
          <w:spacing w:val="1"/>
        </w:rPr>
        <w:t>č</w:t>
      </w:r>
      <w:r>
        <w:rPr>
          <w:rFonts w:ascii="Arial" w:hAnsi="Arial" w:cs="Arial"/>
          <w:color w:val="221F1F"/>
        </w:rPr>
        <w:t>ji</w:t>
      </w:r>
      <w:r>
        <w:rPr>
          <w:rFonts w:ascii="Arial" w:hAnsi="Arial" w:cs="Arial"/>
          <w:color w:val="221F1F"/>
          <w:spacing w:val="-2"/>
        </w:rPr>
        <w:t xml:space="preserve"> </w:t>
      </w:r>
      <w:r>
        <w:rPr>
          <w:rFonts w:ascii="Arial" w:hAnsi="Arial" w:cs="Arial"/>
          <w:color w:val="221F1F"/>
        </w:rPr>
        <w:t>vrtić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221F1F"/>
        </w:rPr>
        <w:t>Drniš</w:t>
      </w:r>
      <w:r>
        <w:rPr>
          <w:rFonts w:ascii="Arial" w:hAnsi="Arial" w:cs="Arial"/>
          <w:color w:val="221F1F"/>
          <w:spacing w:val="-8"/>
        </w:rPr>
        <w:t xml:space="preserve"> </w:t>
      </w:r>
      <w:r>
        <w:rPr>
          <w:rFonts w:ascii="Arial" w:hAnsi="Arial" w:cs="Arial"/>
          <w:color w:val="221F1F"/>
        </w:rPr>
        <w:t>(u</w:t>
      </w:r>
      <w:r>
        <w:rPr>
          <w:rFonts w:ascii="Arial" w:hAnsi="Arial" w:cs="Arial"/>
          <w:color w:val="221F1F"/>
          <w:spacing w:val="-2"/>
        </w:rPr>
        <w:t xml:space="preserve"> </w:t>
      </w:r>
      <w:r>
        <w:rPr>
          <w:rFonts w:ascii="Arial" w:hAnsi="Arial" w:cs="Arial"/>
          <w:color w:val="221F1F"/>
        </w:rPr>
        <w:t>daljnjem</w:t>
      </w:r>
      <w:r>
        <w:rPr>
          <w:rFonts w:ascii="Arial" w:hAnsi="Arial" w:cs="Arial"/>
          <w:color w:val="221F1F"/>
          <w:spacing w:val="-8"/>
        </w:rPr>
        <w:t xml:space="preserve"> </w:t>
      </w:r>
      <w:r>
        <w:rPr>
          <w:rFonts w:ascii="Arial" w:hAnsi="Arial" w:cs="Arial"/>
          <w:color w:val="221F1F"/>
        </w:rPr>
        <w:t>teks</w:t>
      </w:r>
      <w:r>
        <w:rPr>
          <w:rFonts w:ascii="Arial" w:hAnsi="Arial" w:cs="Arial"/>
          <w:color w:val="221F1F"/>
          <w:spacing w:val="-1"/>
        </w:rPr>
        <w:t>t</w:t>
      </w:r>
      <w:r>
        <w:rPr>
          <w:rFonts w:ascii="Arial" w:hAnsi="Arial" w:cs="Arial"/>
          <w:color w:val="221F1F"/>
        </w:rPr>
        <w:t>u:</w:t>
      </w:r>
      <w:r>
        <w:rPr>
          <w:rFonts w:ascii="Arial" w:hAnsi="Arial" w:cs="Arial"/>
          <w:color w:val="221F1F"/>
          <w:spacing w:val="-6"/>
        </w:rPr>
        <w:t xml:space="preserve"> </w:t>
      </w:r>
      <w:r>
        <w:rPr>
          <w:rFonts w:ascii="Arial" w:hAnsi="Arial" w:cs="Arial"/>
          <w:color w:val="221F1F"/>
        </w:rPr>
        <w:t>dj</w:t>
      </w:r>
      <w:r>
        <w:rPr>
          <w:rFonts w:ascii="Arial" w:hAnsi="Arial" w:cs="Arial"/>
          <w:color w:val="221F1F"/>
          <w:spacing w:val="1"/>
        </w:rPr>
        <w:t>eč</w:t>
      </w:r>
      <w:r>
        <w:rPr>
          <w:rFonts w:ascii="Arial" w:hAnsi="Arial" w:cs="Arial"/>
          <w:color w:val="221F1F"/>
        </w:rPr>
        <w:t>ji</w:t>
      </w:r>
      <w:r>
        <w:rPr>
          <w:rFonts w:ascii="Arial" w:hAnsi="Arial" w:cs="Arial"/>
          <w:color w:val="221F1F"/>
          <w:spacing w:val="-18"/>
        </w:rPr>
        <w:t xml:space="preserve"> </w:t>
      </w:r>
      <w:r>
        <w:rPr>
          <w:rFonts w:ascii="Arial" w:hAnsi="Arial" w:cs="Arial"/>
          <w:color w:val="221F1F"/>
        </w:rPr>
        <w:t>vrt</w:t>
      </w:r>
      <w:r>
        <w:rPr>
          <w:rFonts w:ascii="Arial" w:hAnsi="Arial" w:cs="Arial"/>
          <w:color w:val="221F1F"/>
          <w:spacing w:val="-1"/>
        </w:rPr>
        <w:t>i</w:t>
      </w:r>
      <w:r>
        <w:rPr>
          <w:rFonts w:ascii="Arial" w:hAnsi="Arial" w:cs="Arial"/>
          <w:color w:val="221F1F"/>
          <w:spacing w:val="1"/>
        </w:rPr>
        <w:t>ć</w:t>
      </w:r>
      <w:r>
        <w:rPr>
          <w:rFonts w:ascii="Arial" w:hAnsi="Arial" w:cs="Arial"/>
          <w:color w:val="221F1F"/>
        </w:rPr>
        <w:t>) određuje se način upisa djece u dječji vrtić, broj djece, način ostvarivanja prednosti pri upisu.</w:t>
      </w:r>
    </w:p>
    <w:p w:rsidR="00DB350D" w:rsidRDefault="00DB350D" w:rsidP="00DB350D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color w:val="000000"/>
        </w:rPr>
      </w:pPr>
    </w:p>
    <w:p w:rsidR="00DB350D" w:rsidRDefault="00DB350D" w:rsidP="00DB350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Članak 2.</w:t>
      </w:r>
    </w:p>
    <w:p w:rsidR="00DB350D" w:rsidRDefault="00DB350D" w:rsidP="00DB350D">
      <w:pPr>
        <w:rPr>
          <w:rFonts w:ascii="Arial" w:hAnsi="Arial" w:cs="Arial"/>
          <w:b/>
        </w:rPr>
      </w:pPr>
    </w:p>
    <w:p w:rsidR="00DB350D" w:rsidRDefault="00DB350D" w:rsidP="00DB350D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Dječji vrtić je javna ustanova koja u okviru djelatnosti  predškolskog odgoja i obrazovanja ostvaruje redovite programe njege, odgoja, obrazovanja, zdravstvene zaštite, prehrane i socijalne skrbi djece rane i predškolske dobi koji su prilagođeni razvojnim  osobinama i potrebama djece, njihovim mogućnostima i sposobnostima, te kulturnim, vjerskim i drugim potrebama obitelji.</w:t>
      </w:r>
    </w:p>
    <w:p w:rsidR="00DB350D" w:rsidRDefault="00DB350D" w:rsidP="00DB350D">
      <w:pPr>
        <w:ind w:firstLine="708"/>
        <w:rPr>
          <w:rFonts w:ascii="Arial" w:hAnsi="Arial" w:cs="Arial"/>
        </w:rPr>
      </w:pPr>
    </w:p>
    <w:p w:rsidR="00DB350D" w:rsidRDefault="00DB350D" w:rsidP="00DB350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Članak 3.</w:t>
      </w:r>
    </w:p>
    <w:p w:rsidR="00DB350D" w:rsidRDefault="00DB350D" w:rsidP="00DB350D">
      <w:pPr>
        <w:rPr>
          <w:rFonts w:ascii="Arial" w:hAnsi="Arial" w:cs="Arial"/>
        </w:rPr>
      </w:pPr>
    </w:p>
    <w:p w:rsidR="00DB350D" w:rsidRDefault="00DB350D" w:rsidP="00DB350D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U dječjem vrtiću ustrojava se i provodi odgojno - obrazovni rad s djecom raspoređenom u skupine cjelodnevnog, poludnevnog, višednevnog ili kraćeg dnevnog boravka.</w:t>
      </w:r>
    </w:p>
    <w:p w:rsidR="00DB350D" w:rsidRDefault="00DB350D" w:rsidP="00DB350D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Ustroj i provedba odgojno – obrazovnog rada u dječjem vrtiću provodi se na temelju Državno pedagoškog standarda predškolskog odgoja i naobrazbe koji donosi Hrvatski sabor na prijedlog Vlade Republike Hrvatske.</w:t>
      </w:r>
    </w:p>
    <w:p w:rsidR="00DB350D" w:rsidRDefault="00DB350D" w:rsidP="00DB350D">
      <w:pPr>
        <w:ind w:firstLine="708"/>
        <w:rPr>
          <w:rFonts w:ascii="Arial" w:hAnsi="Arial" w:cs="Arial"/>
        </w:rPr>
      </w:pPr>
    </w:p>
    <w:p w:rsidR="00DB350D" w:rsidRDefault="00DB350D" w:rsidP="00DB350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Članak 4.</w:t>
      </w:r>
    </w:p>
    <w:p w:rsidR="00DB350D" w:rsidRDefault="00DB350D" w:rsidP="00DB350D">
      <w:pPr>
        <w:rPr>
          <w:rFonts w:ascii="Arial" w:hAnsi="Arial" w:cs="Arial"/>
        </w:rPr>
      </w:pPr>
    </w:p>
    <w:p w:rsidR="00DB350D" w:rsidRDefault="00DB350D" w:rsidP="00DB350D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Pedagoška godina u dječjem vrtiću traje od 01. rujna tekuće godine do 31. kolovoza sljedeće kalendarske godine. </w:t>
      </w:r>
    </w:p>
    <w:p w:rsidR="00DB350D" w:rsidRDefault="00DB350D" w:rsidP="00DB350D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Rad dječjeg vrtića realizira se tijekom cijele godine, osim subota, nedjelja i državnih blagdana.</w:t>
      </w:r>
    </w:p>
    <w:p w:rsidR="00DB350D" w:rsidRDefault="00DB350D" w:rsidP="00DB350D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Radno vrijeme dječjeg vrtića za cjelodnevni program je od 6,30 sati do 15,</w:t>
      </w:r>
      <w:r w:rsidR="002D6332">
        <w:rPr>
          <w:rFonts w:ascii="Arial" w:hAnsi="Arial" w:cs="Arial"/>
        </w:rPr>
        <w:t>30 sati, a za poludnevni od 7,30</w:t>
      </w:r>
      <w:r>
        <w:rPr>
          <w:rFonts w:ascii="Arial" w:hAnsi="Arial" w:cs="Arial"/>
        </w:rPr>
        <w:t xml:space="preserve"> sati do 13,30 sati.</w:t>
      </w:r>
    </w:p>
    <w:p w:rsidR="00DB350D" w:rsidRDefault="00DB350D" w:rsidP="00DB350D">
      <w:pPr>
        <w:ind w:firstLine="708"/>
        <w:rPr>
          <w:rFonts w:ascii="Arial" w:hAnsi="Arial" w:cs="Arial"/>
        </w:rPr>
      </w:pPr>
    </w:p>
    <w:p w:rsidR="00DB350D" w:rsidRDefault="00DB350D" w:rsidP="00DB350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Članak 5.</w:t>
      </w:r>
    </w:p>
    <w:p w:rsidR="00DB350D" w:rsidRDefault="00DB350D" w:rsidP="00DB350D">
      <w:pPr>
        <w:rPr>
          <w:rFonts w:ascii="Arial" w:hAnsi="Arial" w:cs="Arial"/>
        </w:rPr>
      </w:pPr>
    </w:p>
    <w:p w:rsidR="00DB350D" w:rsidRDefault="00DB350D" w:rsidP="00DB350D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Prijava za upis djece u dječji vrtić obavlja se ispunjavanjem Zahtjeva za upis djeteta u program predškolskog odgoja i obrazovanja.</w:t>
      </w:r>
    </w:p>
    <w:p w:rsidR="00DB350D" w:rsidRDefault="00DB350D" w:rsidP="00DB350D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Prijave se obavljaju u drugoj polovini svibnja mjeseca svake godine i naknadnim upisom tijekom pedagoške godine.</w:t>
      </w:r>
    </w:p>
    <w:p w:rsidR="00DB350D" w:rsidRDefault="00DB350D" w:rsidP="00DB350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</w:t>
      </w:r>
    </w:p>
    <w:p w:rsidR="00DB350D" w:rsidRDefault="00DB350D" w:rsidP="00DB350D">
      <w:pPr>
        <w:tabs>
          <w:tab w:val="left" w:pos="420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</w:t>
      </w:r>
    </w:p>
    <w:p w:rsidR="00DB350D" w:rsidRDefault="00DB350D" w:rsidP="00DB350D">
      <w:pPr>
        <w:tabs>
          <w:tab w:val="left" w:pos="420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Članak 6.</w:t>
      </w:r>
    </w:p>
    <w:p w:rsidR="00DB350D" w:rsidRDefault="00DB350D" w:rsidP="00DB350D">
      <w:pPr>
        <w:tabs>
          <w:tab w:val="left" w:pos="4200"/>
        </w:tabs>
        <w:rPr>
          <w:rFonts w:ascii="Arial" w:hAnsi="Arial" w:cs="Arial"/>
        </w:rPr>
      </w:pPr>
    </w:p>
    <w:p w:rsidR="00DB350D" w:rsidRDefault="00DB350D" w:rsidP="00DB350D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Odluku o prijemu djece u dječji vrtić donosi tijekom lipnja mjeseca Komisija za upis djece koju imenuje Upravno vijeće Dječjeg vrtića Drniš.</w:t>
      </w:r>
    </w:p>
    <w:p w:rsidR="00DB350D" w:rsidRDefault="00DB350D" w:rsidP="00DB350D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Komisija se sastoji od tri člana koji se imenuju iz reda odgojitelja i stručnih suradnika dječjeg vrtića. Mandat članovima Komisije je dvije godine.</w:t>
      </w:r>
    </w:p>
    <w:p w:rsidR="00DB350D" w:rsidRDefault="00DB350D" w:rsidP="00DB350D">
      <w:pPr>
        <w:rPr>
          <w:rFonts w:ascii="Arial" w:hAnsi="Arial" w:cs="Arial"/>
        </w:rPr>
      </w:pPr>
    </w:p>
    <w:p w:rsidR="00DB350D" w:rsidRDefault="00DB350D" w:rsidP="00DB350D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Članak 7.</w:t>
      </w:r>
    </w:p>
    <w:p w:rsidR="00DB350D" w:rsidRDefault="00DB350D" w:rsidP="00DB350D">
      <w:pPr>
        <w:ind w:firstLine="708"/>
        <w:rPr>
          <w:rFonts w:ascii="Arial" w:hAnsi="Arial" w:cs="Arial"/>
        </w:rPr>
      </w:pPr>
    </w:p>
    <w:p w:rsidR="00DB350D" w:rsidRDefault="00DB350D" w:rsidP="00DB350D">
      <w:pPr>
        <w:rPr>
          <w:rFonts w:ascii="Arial" w:hAnsi="Arial" w:cs="Arial"/>
        </w:rPr>
      </w:pPr>
      <w:r>
        <w:rPr>
          <w:rFonts w:ascii="Arial" w:hAnsi="Arial" w:cs="Arial"/>
        </w:rPr>
        <w:t>Prednost pri upisu u dječji vrtić ostvaruje:</w:t>
      </w:r>
    </w:p>
    <w:p w:rsidR="00DB350D" w:rsidRDefault="00DB350D" w:rsidP="00DB350D">
      <w:pPr>
        <w:numPr>
          <w:ilvl w:val="0"/>
          <w:numId w:val="1"/>
        </w:numPr>
        <w:spacing w:after="200"/>
        <w:rPr>
          <w:rFonts w:ascii="Arial" w:hAnsi="Arial" w:cs="Arial"/>
        </w:rPr>
      </w:pPr>
      <w:r>
        <w:rPr>
          <w:rFonts w:ascii="Arial" w:hAnsi="Arial" w:cs="Arial"/>
        </w:rPr>
        <w:t>dijete koje zajedno s oba roditelja ima prebivalište u Gradu Drnišu</w:t>
      </w:r>
    </w:p>
    <w:p w:rsidR="00DB350D" w:rsidRDefault="00DB350D" w:rsidP="00DB350D">
      <w:pPr>
        <w:numPr>
          <w:ilvl w:val="0"/>
          <w:numId w:val="1"/>
        </w:numPr>
        <w:spacing w:after="200"/>
        <w:rPr>
          <w:rFonts w:ascii="Arial" w:hAnsi="Arial" w:cs="Arial"/>
        </w:rPr>
      </w:pPr>
      <w:r>
        <w:rPr>
          <w:rFonts w:ascii="Arial" w:hAnsi="Arial" w:cs="Arial"/>
        </w:rPr>
        <w:t>dijete koje zajedno sa samohranim roditeljem ima prebivalište na  području Grada Drniša</w:t>
      </w:r>
    </w:p>
    <w:p w:rsidR="00DB350D" w:rsidRDefault="00DB350D" w:rsidP="00DB350D">
      <w:pPr>
        <w:numPr>
          <w:ilvl w:val="0"/>
          <w:numId w:val="1"/>
        </w:numPr>
        <w:spacing w:after="200"/>
        <w:rPr>
          <w:rFonts w:ascii="Arial" w:hAnsi="Arial" w:cs="Arial"/>
        </w:rPr>
      </w:pPr>
      <w:r>
        <w:rPr>
          <w:rFonts w:ascii="Arial" w:hAnsi="Arial" w:cs="Arial"/>
        </w:rPr>
        <w:t>dijete kojem je dodijeljen skrbnik ili je smješten u udomiteljsku obitelj, ovisno o njegovom prebivalištu, ako njegov skrbnik ili udomitelj ima prebivalište na području  Grada Drniša.</w:t>
      </w:r>
    </w:p>
    <w:p w:rsidR="00DB350D" w:rsidRDefault="00DB350D" w:rsidP="00DB350D">
      <w:pPr>
        <w:tabs>
          <w:tab w:val="left" w:pos="24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Članak 8.</w:t>
      </w:r>
    </w:p>
    <w:p w:rsidR="00DB350D" w:rsidRDefault="00DB350D" w:rsidP="00DB350D">
      <w:pPr>
        <w:tabs>
          <w:tab w:val="left" w:pos="240"/>
        </w:tabs>
        <w:rPr>
          <w:rFonts w:ascii="Arial" w:hAnsi="Arial" w:cs="Arial"/>
        </w:rPr>
      </w:pPr>
    </w:p>
    <w:p w:rsidR="00DB350D" w:rsidRDefault="00DB350D" w:rsidP="00DB350D">
      <w:pPr>
        <w:rPr>
          <w:rFonts w:ascii="Arial" w:hAnsi="Arial" w:cs="Arial"/>
        </w:rPr>
      </w:pPr>
      <w:r>
        <w:rPr>
          <w:rFonts w:ascii="Arial" w:hAnsi="Arial" w:cs="Arial"/>
        </w:rPr>
        <w:t>Prednost pri upisu u dječji vrtić djeca ostvaruju prema sljedećem redu prvenstva:</w:t>
      </w:r>
    </w:p>
    <w:p w:rsidR="00DB350D" w:rsidRDefault="00DB350D" w:rsidP="00DB350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a)   djeca roditelja žrtava i invalida domovinskog rata,</w:t>
      </w:r>
    </w:p>
    <w:p w:rsidR="00DB350D" w:rsidRDefault="00DB350D" w:rsidP="00DB350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b)   djeca iz obitelji s troje ili više djece</w:t>
      </w:r>
    </w:p>
    <w:p w:rsidR="00DB350D" w:rsidRDefault="00DB350D" w:rsidP="00DB350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c)   djeca zaposlenih roditelja</w:t>
      </w:r>
    </w:p>
    <w:p w:rsidR="00DB350D" w:rsidRDefault="00DB350D" w:rsidP="00DB350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d)   djeca s teškoćama u razvoju </w:t>
      </w:r>
    </w:p>
    <w:p w:rsidR="00DB350D" w:rsidRDefault="00DB350D" w:rsidP="00DB350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e)   djeca iz </w:t>
      </w:r>
      <w:proofErr w:type="spellStart"/>
      <w:r>
        <w:rPr>
          <w:rFonts w:ascii="Arial" w:hAnsi="Arial" w:cs="Arial"/>
        </w:rPr>
        <w:t>jednoroditeljske</w:t>
      </w:r>
      <w:proofErr w:type="spellEnd"/>
      <w:r>
        <w:rPr>
          <w:rFonts w:ascii="Arial" w:hAnsi="Arial" w:cs="Arial"/>
        </w:rPr>
        <w:t xml:space="preserve"> obitelji</w:t>
      </w:r>
    </w:p>
    <w:p w:rsidR="00DB350D" w:rsidRDefault="00DB350D" w:rsidP="00DB350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f)    djeca samohranog roditelja  </w:t>
      </w:r>
    </w:p>
    <w:p w:rsidR="00DB350D" w:rsidRDefault="00DB350D" w:rsidP="00DB350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g)   djeca u udomiteljskoj obitelji</w:t>
      </w:r>
    </w:p>
    <w:p w:rsidR="00DB350D" w:rsidRDefault="00DB350D" w:rsidP="00DB350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h)   djeca u godini prije polaska u osnovnu školu </w:t>
      </w:r>
    </w:p>
    <w:p w:rsidR="00DB350D" w:rsidRDefault="00DB350D" w:rsidP="00DB350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j)   djeca roditelja koji primaju doplatak za djecu</w:t>
      </w:r>
    </w:p>
    <w:p w:rsidR="00DB350D" w:rsidRDefault="00DB350D" w:rsidP="00DB350D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Pod djetetom iz st. 1. točke d) ovog članka, smatra se dijete kojem su vrsta i stupanj teškoće utvrđeni sukladno propisima iz područja socijalne skrbi.</w:t>
      </w:r>
    </w:p>
    <w:p w:rsidR="00DB350D" w:rsidRDefault="00DB350D" w:rsidP="00DB350D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Pod djetetom iz čl.7. st.1. podstavka 2. ove Odluke i st.1. točke e) ovog članka smatra se dijete samohranog roditelja i dijete iz </w:t>
      </w:r>
      <w:proofErr w:type="spellStart"/>
      <w:r>
        <w:rPr>
          <w:rFonts w:ascii="Arial" w:hAnsi="Arial" w:cs="Arial"/>
        </w:rPr>
        <w:t>jednoroditeljske</w:t>
      </w:r>
      <w:proofErr w:type="spellEnd"/>
      <w:r>
        <w:rPr>
          <w:rFonts w:ascii="Arial" w:hAnsi="Arial" w:cs="Arial"/>
        </w:rPr>
        <w:t xml:space="preserve"> obitelji.</w:t>
      </w:r>
    </w:p>
    <w:p w:rsidR="00DB350D" w:rsidRDefault="00DB350D" w:rsidP="00DB350D">
      <w:pPr>
        <w:ind w:firstLine="708"/>
        <w:rPr>
          <w:rFonts w:ascii="Arial" w:hAnsi="Arial" w:cs="Arial"/>
        </w:rPr>
      </w:pPr>
    </w:p>
    <w:p w:rsidR="00DB350D" w:rsidRDefault="00DB350D" w:rsidP="00DB350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Članak 9.</w:t>
      </w:r>
    </w:p>
    <w:p w:rsidR="00DB350D" w:rsidRDefault="00DB350D" w:rsidP="00DB350D">
      <w:pPr>
        <w:rPr>
          <w:rFonts w:ascii="Arial" w:hAnsi="Arial" w:cs="Arial"/>
        </w:rPr>
      </w:pPr>
    </w:p>
    <w:p w:rsidR="00DB350D" w:rsidRDefault="00DB350D" w:rsidP="00DB350D">
      <w:pPr>
        <w:rPr>
          <w:rFonts w:ascii="Arial" w:hAnsi="Arial" w:cs="Arial"/>
        </w:rPr>
      </w:pPr>
      <w:r>
        <w:rPr>
          <w:rFonts w:ascii="Arial" w:hAnsi="Arial" w:cs="Arial"/>
        </w:rPr>
        <w:t>Kod ostvarivanja prednosti u  smislu čl. 8. ove Odluke, polazi se od sljedećih mjerila:</w:t>
      </w:r>
    </w:p>
    <w:p w:rsidR="00DB350D" w:rsidRDefault="00DB350D" w:rsidP="00DB350D">
      <w:pPr>
        <w:numPr>
          <w:ilvl w:val="0"/>
          <w:numId w:val="1"/>
        </w:numPr>
        <w:spacing w:after="200"/>
        <w:rPr>
          <w:rFonts w:ascii="Arial" w:hAnsi="Arial" w:cs="Arial"/>
        </w:rPr>
      </w:pPr>
      <w:r>
        <w:rPr>
          <w:rFonts w:ascii="Arial" w:hAnsi="Arial" w:cs="Arial"/>
        </w:rPr>
        <w:t>kod utvrđivanja broja djece u obitelji, polazi se od ukupnog broja maloljetne djece u odnosnoj obitelji</w:t>
      </w:r>
    </w:p>
    <w:p w:rsidR="00DB350D" w:rsidRDefault="00DB350D" w:rsidP="00DB350D">
      <w:pPr>
        <w:numPr>
          <w:ilvl w:val="0"/>
          <w:numId w:val="1"/>
        </w:numPr>
        <w:spacing w:after="200"/>
        <w:rPr>
          <w:rFonts w:ascii="Arial" w:hAnsi="Arial" w:cs="Arial"/>
        </w:rPr>
      </w:pPr>
      <w:r>
        <w:rPr>
          <w:rFonts w:ascii="Arial" w:hAnsi="Arial" w:cs="Arial"/>
        </w:rPr>
        <w:t>pod ukupnim brojem djece u obitelji, smatraju se uzdržavano dijete i sva maloljetna djeca u odnosnoj obitelji</w:t>
      </w:r>
    </w:p>
    <w:p w:rsidR="00DB350D" w:rsidRDefault="00DB350D" w:rsidP="00DB350D">
      <w:pPr>
        <w:numPr>
          <w:ilvl w:val="0"/>
          <w:numId w:val="1"/>
        </w:numPr>
        <w:spacing w:after="200"/>
        <w:rPr>
          <w:rFonts w:ascii="Arial" w:hAnsi="Arial" w:cs="Arial"/>
        </w:rPr>
      </w:pPr>
      <w:r>
        <w:rPr>
          <w:rFonts w:ascii="Arial" w:hAnsi="Arial" w:cs="Arial"/>
        </w:rPr>
        <w:t>dijete iz obitelji s troje ili više djece, u okviru iste skupine, ima prednost pred djetetom iz obitelji s manje djece.</w:t>
      </w:r>
    </w:p>
    <w:p w:rsidR="00DB350D" w:rsidRDefault="00DB350D" w:rsidP="00DB350D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                                              Članak 10.</w:t>
      </w:r>
    </w:p>
    <w:p w:rsidR="00DB350D" w:rsidRDefault="00DB350D" w:rsidP="00DB350D">
      <w:pPr>
        <w:jc w:val="center"/>
        <w:rPr>
          <w:rFonts w:ascii="Arial" w:hAnsi="Arial" w:cs="Arial"/>
        </w:rPr>
      </w:pPr>
    </w:p>
    <w:p w:rsidR="00DB350D" w:rsidRDefault="00DB350D" w:rsidP="00DB350D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U slučaju kada nakon utvrđivanja prednosti djece iz čl. 7. ove Odluke preostane slobodnih mjesta za upis, prednost pri upisu ostvaruju djeca prema sljedećem  redoslijedu:</w:t>
      </w:r>
    </w:p>
    <w:p w:rsidR="00DB350D" w:rsidRDefault="00DB350D" w:rsidP="00DB350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-    dijete iz obitelji s oba roditelja, koje živi zajedno samo s jednim roditeljem i imaju prebivalište na području Grada Drnišu</w:t>
      </w:r>
    </w:p>
    <w:p w:rsidR="00DB350D" w:rsidRDefault="00DB350D" w:rsidP="00DB350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-    dijete koje zajedno s roditeljima nema prebivalište na području  Grada Drniša.</w:t>
      </w:r>
    </w:p>
    <w:p w:rsidR="00DB350D" w:rsidRDefault="00DB350D" w:rsidP="00DB350D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U slučaju iz st.1. ovog članka, za utvrđivanje prednosti pri upisu u dječji vrtić </w:t>
      </w:r>
      <w:proofErr w:type="spellStart"/>
      <w:r>
        <w:rPr>
          <w:rFonts w:ascii="Arial" w:hAnsi="Arial" w:cs="Arial"/>
        </w:rPr>
        <w:t>primjenju</w:t>
      </w:r>
      <w:proofErr w:type="spellEnd"/>
      <w:r>
        <w:rPr>
          <w:rFonts w:ascii="Arial" w:hAnsi="Arial" w:cs="Arial"/>
        </w:rPr>
        <w:t xml:space="preserve"> se odredbe čl. 8. i čl. 9. ove Odluke.</w:t>
      </w:r>
    </w:p>
    <w:p w:rsidR="00DB350D" w:rsidRDefault="00DB350D" w:rsidP="00DB350D">
      <w:pPr>
        <w:ind w:firstLine="708"/>
        <w:rPr>
          <w:rFonts w:ascii="Arial" w:hAnsi="Arial" w:cs="Arial"/>
        </w:rPr>
      </w:pPr>
    </w:p>
    <w:p w:rsidR="00DB350D" w:rsidRDefault="00DB350D" w:rsidP="00DB350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Članak 11.</w:t>
      </w:r>
    </w:p>
    <w:p w:rsidR="00DB350D" w:rsidRDefault="00DB350D" w:rsidP="00DB350D">
      <w:pPr>
        <w:rPr>
          <w:rFonts w:ascii="Arial" w:hAnsi="Arial" w:cs="Arial"/>
        </w:rPr>
      </w:pPr>
    </w:p>
    <w:p w:rsidR="00DB350D" w:rsidRDefault="00DB350D" w:rsidP="00DB350D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Postupak upisa djece u  dječji vrtić, ostvarivanje   reda prvenstva    pri upisu i druga pitanja u svezi s upisom djece u dječji vrtić, podrobnije  se uređuju općim aktom kojeg donosi Upravno vijeće Dječjeg vrtića Drniš. </w:t>
      </w:r>
    </w:p>
    <w:p w:rsidR="00DB350D" w:rsidRDefault="00DB350D" w:rsidP="00DB350D">
      <w:pPr>
        <w:ind w:firstLine="708"/>
        <w:rPr>
          <w:rFonts w:ascii="Arial" w:hAnsi="Arial" w:cs="Arial"/>
        </w:rPr>
      </w:pPr>
    </w:p>
    <w:p w:rsidR="00DB350D" w:rsidRDefault="00DB350D" w:rsidP="00DB350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Članak 12.</w:t>
      </w:r>
    </w:p>
    <w:p w:rsidR="00DB350D" w:rsidRDefault="00DB350D" w:rsidP="00DB350D">
      <w:pPr>
        <w:rPr>
          <w:rFonts w:ascii="Arial" w:hAnsi="Arial" w:cs="Arial"/>
        </w:rPr>
      </w:pPr>
    </w:p>
    <w:p w:rsidR="00DB350D" w:rsidRDefault="00DB350D" w:rsidP="00DB350D">
      <w:pPr>
        <w:rPr>
          <w:rFonts w:ascii="Arial" w:hAnsi="Arial" w:cs="Arial"/>
        </w:rPr>
      </w:pPr>
      <w:r>
        <w:rPr>
          <w:rFonts w:ascii="Arial" w:hAnsi="Arial" w:cs="Arial"/>
        </w:rPr>
        <w:t>Danom stupanja na snagu ove Odluke prestaje važiti Odluka o načinu i ostvarivanju prednosti pri upisu djece u Dječji vrtić  Drniš („Službeni glasnik Gra</w:t>
      </w:r>
      <w:r w:rsidR="00B17010">
        <w:rPr>
          <w:rFonts w:ascii="Arial" w:hAnsi="Arial" w:cs="Arial"/>
        </w:rPr>
        <w:t>da Drniša“ broj 2/18</w:t>
      </w:r>
      <w:r>
        <w:rPr>
          <w:rFonts w:ascii="Arial" w:hAnsi="Arial" w:cs="Arial"/>
        </w:rPr>
        <w:t>).</w:t>
      </w:r>
    </w:p>
    <w:p w:rsidR="00DB350D" w:rsidRDefault="00DB350D" w:rsidP="00DB350D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DB350D" w:rsidRDefault="00DB350D" w:rsidP="00DB350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Članak 13.</w:t>
      </w:r>
    </w:p>
    <w:p w:rsidR="00DB350D" w:rsidRDefault="00DB350D" w:rsidP="00DB350D">
      <w:pPr>
        <w:rPr>
          <w:rFonts w:ascii="Arial" w:hAnsi="Arial" w:cs="Arial"/>
        </w:rPr>
      </w:pPr>
    </w:p>
    <w:p w:rsidR="00DB350D" w:rsidRDefault="00DB350D" w:rsidP="00DB350D">
      <w:pPr>
        <w:rPr>
          <w:rFonts w:ascii="Arial" w:hAnsi="Arial" w:cs="Arial"/>
        </w:rPr>
      </w:pPr>
      <w:r>
        <w:rPr>
          <w:rFonts w:ascii="Arial" w:hAnsi="Arial" w:cs="Arial"/>
        </w:rPr>
        <w:t>Ova Odluka stupa na snagu osmog  dana nakon objave, a objavit će se u „Službenom glasniku Grada Drniša“.</w:t>
      </w:r>
    </w:p>
    <w:p w:rsidR="00DB350D" w:rsidRDefault="00DB350D" w:rsidP="00DB350D">
      <w:pPr>
        <w:ind w:left="4248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</w:t>
      </w:r>
    </w:p>
    <w:p w:rsidR="00DB350D" w:rsidRDefault="00DB350D" w:rsidP="00DB350D">
      <w:pPr>
        <w:ind w:left="4248" w:firstLine="708"/>
        <w:rPr>
          <w:rFonts w:ascii="Arial" w:hAnsi="Arial" w:cs="Arial"/>
        </w:rPr>
      </w:pPr>
    </w:p>
    <w:p w:rsidR="00DB350D" w:rsidRDefault="00DB350D" w:rsidP="00DB350D">
      <w:pPr>
        <w:ind w:left="4248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Predsjednik:</w:t>
      </w:r>
    </w:p>
    <w:p w:rsidR="00DB350D" w:rsidRDefault="00DB350D" w:rsidP="00DB350D">
      <w:pPr>
        <w:ind w:left="4248" w:firstLine="708"/>
        <w:rPr>
          <w:rFonts w:ascii="Arial" w:hAnsi="Arial" w:cs="Arial"/>
        </w:rPr>
      </w:pPr>
    </w:p>
    <w:p w:rsidR="00DB350D" w:rsidRDefault="00DB350D" w:rsidP="00DB350D">
      <w:pPr>
        <w:ind w:left="4956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4935FA">
        <w:rPr>
          <w:rFonts w:ascii="Arial" w:hAnsi="Arial" w:cs="Arial"/>
        </w:rPr>
        <w:t xml:space="preserve">Ante </w:t>
      </w:r>
      <w:proofErr w:type="spellStart"/>
      <w:r w:rsidR="004935FA">
        <w:rPr>
          <w:rFonts w:ascii="Arial" w:hAnsi="Arial" w:cs="Arial"/>
        </w:rPr>
        <w:t>Pleadin</w:t>
      </w:r>
      <w:proofErr w:type="spellEnd"/>
      <w:r w:rsidR="004935FA">
        <w:rPr>
          <w:rFonts w:ascii="Arial" w:hAnsi="Arial" w:cs="Arial"/>
        </w:rPr>
        <w:t xml:space="preserve"> </w:t>
      </w:r>
      <w:bookmarkStart w:id="0" w:name="_GoBack"/>
      <w:bookmarkEnd w:id="0"/>
    </w:p>
    <w:p w:rsidR="00DB350D" w:rsidRDefault="00DB350D" w:rsidP="00DB350D">
      <w:pPr>
        <w:ind w:left="4956"/>
        <w:jc w:val="center"/>
        <w:rPr>
          <w:rFonts w:ascii="Arial" w:hAnsi="Arial" w:cs="Arial"/>
        </w:rPr>
      </w:pPr>
    </w:p>
    <w:p w:rsidR="00DB350D" w:rsidRDefault="00DB350D" w:rsidP="00DB350D">
      <w:pPr>
        <w:ind w:left="4956"/>
        <w:jc w:val="center"/>
        <w:rPr>
          <w:rFonts w:ascii="Arial" w:hAnsi="Arial" w:cs="Arial"/>
        </w:rPr>
      </w:pPr>
    </w:p>
    <w:p w:rsidR="00DB350D" w:rsidRDefault="002D6332" w:rsidP="00DB350D">
      <w:pPr>
        <w:rPr>
          <w:rFonts w:ascii="Arial" w:hAnsi="Arial" w:cs="Arial"/>
        </w:rPr>
      </w:pPr>
      <w:r>
        <w:rPr>
          <w:rFonts w:ascii="Arial" w:hAnsi="Arial" w:cs="Arial"/>
        </w:rPr>
        <w:t>KLASA: 601-02/19-20/</w:t>
      </w:r>
      <w:r w:rsidR="004935FA">
        <w:rPr>
          <w:rFonts w:ascii="Arial" w:hAnsi="Arial" w:cs="Arial"/>
        </w:rPr>
        <w:t>3</w:t>
      </w:r>
    </w:p>
    <w:p w:rsidR="00DB350D" w:rsidRDefault="002D6332" w:rsidP="00DB350D">
      <w:pPr>
        <w:rPr>
          <w:rFonts w:ascii="Arial" w:hAnsi="Arial" w:cs="Arial"/>
        </w:rPr>
      </w:pPr>
      <w:r>
        <w:rPr>
          <w:rFonts w:ascii="Arial" w:hAnsi="Arial" w:cs="Arial"/>
        </w:rPr>
        <w:t>URBROJ: 2182/06-19</w:t>
      </w:r>
      <w:r w:rsidR="00DB350D">
        <w:rPr>
          <w:rFonts w:ascii="Arial" w:hAnsi="Arial" w:cs="Arial"/>
        </w:rPr>
        <w:t>-01</w:t>
      </w:r>
    </w:p>
    <w:p w:rsidR="00DB350D" w:rsidRDefault="004935FA" w:rsidP="00DB350D">
      <w:pPr>
        <w:rPr>
          <w:rFonts w:ascii="Arial" w:hAnsi="Arial" w:cs="Arial"/>
        </w:rPr>
      </w:pPr>
      <w:r>
        <w:rPr>
          <w:rFonts w:ascii="Arial" w:hAnsi="Arial" w:cs="Arial"/>
        </w:rPr>
        <w:t xml:space="preserve">Drniš, 26. </w:t>
      </w:r>
      <w:r w:rsidR="002D6332">
        <w:rPr>
          <w:rFonts w:ascii="Arial" w:hAnsi="Arial" w:cs="Arial"/>
        </w:rPr>
        <w:t>ožujka 2019</w:t>
      </w:r>
      <w:r w:rsidR="00DB350D">
        <w:rPr>
          <w:rFonts w:ascii="Arial" w:hAnsi="Arial" w:cs="Arial"/>
        </w:rPr>
        <w:t>. godine</w:t>
      </w:r>
    </w:p>
    <w:p w:rsidR="00DB350D" w:rsidRDefault="00DB350D" w:rsidP="00DB350D">
      <w:pPr>
        <w:rPr>
          <w:sz w:val="22"/>
          <w:szCs w:val="22"/>
        </w:rPr>
      </w:pPr>
      <w:r>
        <w:rPr>
          <w:sz w:val="22"/>
          <w:szCs w:val="22"/>
        </w:rPr>
        <w:t xml:space="preserve">      </w:t>
      </w:r>
    </w:p>
    <w:p w:rsidR="00DB350D" w:rsidRDefault="00DB350D" w:rsidP="00DB350D">
      <w:pPr>
        <w:rPr>
          <w:sz w:val="22"/>
          <w:szCs w:val="22"/>
        </w:rPr>
      </w:pPr>
    </w:p>
    <w:p w:rsidR="00DB350D" w:rsidRDefault="00DB350D" w:rsidP="00DB350D">
      <w:pPr>
        <w:rPr>
          <w:sz w:val="22"/>
          <w:szCs w:val="22"/>
        </w:rPr>
      </w:pPr>
    </w:p>
    <w:p w:rsidR="00DB350D" w:rsidRDefault="00DB350D" w:rsidP="00DB350D">
      <w:pPr>
        <w:rPr>
          <w:sz w:val="22"/>
          <w:szCs w:val="22"/>
        </w:rPr>
      </w:pPr>
    </w:p>
    <w:p w:rsidR="00DB350D" w:rsidRDefault="00DB350D" w:rsidP="00DB350D">
      <w:pPr>
        <w:rPr>
          <w:sz w:val="22"/>
          <w:szCs w:val="22"/>
        </w:rPr>
      </w:pPr>
    </w:p>
    <w:p w:rsidR="00DB350D" w:rsidRDefault="00DB350D" w:rsidP="00DB350D">
      <w:pPr>
        <w:rPr>
          <w:sz w:val="22"/>
          <w:szCs w:val="22"/>
        </w:rPr>
      </w:pPr>
    </w:p>
    <w:p w:rsidR="003F375A" w:rsidRDefault="003F375A"/>
    <w:sectPr w:rsidR="003F37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0163E5"/>
    <w:multiLevelType w:val="hybridMultilevel"/>
    <w:tmpl w:val="F2E6F628"/>
    <w:lvl w:ilvl="0" w:tplc="D286E488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1B7"/>
    <w:rsid w:val="002D6332"/>
    <w:rsid w:val="00300801"/>
    <w:rsid w:val="003F375A"/>
    <w:rsid w:val="004935FA"/>
    <w:rsid w:val="00B17010"/>
    <w:rsid w:val="00DB350D"/>
    <w:rsid w:val="00E43B88"/>
    <w:rsid w:val="00F7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107389-14A7-433D-A19A-532DAA66C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350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403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932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8</cp:revision>
  <dcterms:created xsi:type="dcterms:W3CDTF">2019-03-14T11:13:00Z</dcterms:created>
  <dcterms:modified xsi:type="dcterms:W3CDTF">2019-03-27T07:22:00Z</dcterms:modified>
</cp:coreProperties>
</file>